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D6" w:rsidRDefault="00342707">
      <w:pPr>
        <w:tabs>
          <w:tab w:val="left" w:pos="900"/>
          <w:tab w:val="left" w:pos="1080"/>
          <w:tab w:val="left" w:pos="8460"/>
        </w:tabs>
        <w:spacing w:after="0"/>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RESPUBLİKA   ELMİ   TƏDQİQATLARIN   ƏLAQƏLƏNDİRİLMƏSİ   ŞURASI</w:t>
      </w:r>
    </w:p>
    <w:tbl>
      <w:tblPr>
        <w:tblStyle w:val="af"/>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910"/>
      </w:tblGrid>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Təşkilatın adı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spacing w:line="276" w:lineRule="auto"/>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Azərbaycan Respublikası Səhiyyə Nazirliyi</w:t>
            </w:r>
          </w:p>
          <w:p w:rsidR="003A44D6" w:rsidRPr="009B6C9D" w:rsidRDefault="00342707">
            <w:pPr>
              <w:spacing w:line="276" w:lineRule="auto"/>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Azərbaycan Tibb Universiteti</w:t>
            </w:r>
          </w:p>
          <w:p w:rsidR="003A44D6" w:rsidRPr="009B6C9D" w:rsidRDefault="003A44D6">
            <w:pPr>
              <w:spacing w:line="276" w:lineRule="auto"/>
              <w:jc w:val="cente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Sənədin növü</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Tibb üzrə Fəlsəfə Doktoru dissertasiyasının annotasiyası</w:t>
            </w:r>
          </w:p>
          <w:p w:rsidR="003A44D6" w:rsidRPr="009B6C9D" w:rsidRDefault="003A44D6">
            <w:pPr>
              <w:rPr>
                <w:rFonts w:ascii="Times New Roman" w:eastAsia="Times New Roman" w:hAnsi="Times New Roman" w:cs="Times New Roman"/>
                <w:b/>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 işinin adı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Covid-19 xəstəliyi keçirmiş pasiyentlərdə koronar ateroskleroz gedişatının xüsusiyyətləri və koronar stentləmənin nəticələri</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 mövzusunun aid olduğu elmi problemin adı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Covid-19 xəstəliyini keçirmiş pasiyentlərdə ÜİX-nin gedişatını öyrənmək,bu kateqorya xəstələrdə invaziv müdaxilələrdən sonra qarşıya qoyulmuş kliniki,instrumental və biokimyəvi prediktorları            </w:t>
            </w:r>
          </w:p>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müəyyənləşdirmək   </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Qeydiyyata alındığı Elmi Şuranın adı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ATU-nun </w:t>
            </w:r>
            <w:r w:rsidRPr="009B6C9D">
              <w:rPr>
                <w:rFonts w:ascii="Times New Roman" w:eastAsia="Arial" w:hAnsi="Times New Roman" w:cs="Times New Roman"/>
                <w:color w:val="202122"/>
                <w:sz w:val="25"/>
                <w:szCs w:val="25"/>
                <w:shd w:val="clear" w:color="auto" w:fill="F8F9FA"/>
              </w:rPr>
              <w:t>I Müalicə-profilaktika fakültəsinin Elmi şurasi</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 tarixi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ind w:left="-33"/>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Etika Komissiyasının qərarı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ind w:left="-33"/>
              <w:jc w:val="cente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A44D6">
            <w:pPr>
              <w:rPr>
                <w:rFonts w:ascii="Times New Roman" w:eastAsia="Times New Roman" w:hAnsi="Times New Roman" w:cs="Times New Roman"/>
                <w:b/>
                <w:i/>
                <w:sz w:val="24"/>
                <w:szCs w:val="24"/>
              </w:rPr>
            </w:pP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ind w:left="-33"/>
              <w:jc w:val="cente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İxtisas şifri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3218.01</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İxtisasın adı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ind w:left="-33"/>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Kardiologiya    </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İcarçının statusu</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Doktorant   </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İcraçı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Şahmarova Günel Şahverən</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Təvəllüdü</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07.04.1988</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Cinsi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Qadın</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 yeri və vəzifəsi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ATU Kliniki farmakologiya kafedrası-doktorant               </w:t>
            </w:r>
          </w:p>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20 saylı şəhər poliklinikası-həkim-kardioloq</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Əlaqə</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w:t>
            </w:r>
            <w:hyperlink r:id="rId8">
              <w:r w:rsidRPr="009B6C9D">
                <w:rPr>
                  <w:rFonts w:ascii="Times New Roman" w:eastAsia="Times New Roman" w:hAnsi="Times New Roman" w:cs="Times New Roman"/>
                  <w:color w:val="1155CC"/>
                  <w:sz w:val="25"/>
                  <w:szCs w:val="25"/>
                  <w:u w:val="single"/>
                </w:rPr>
                <w:t>gunelfs@gmail.co</w:t>
              </w:r>
            </w:hyperlink>
            <w:r w:rsidRPr="009B6C9D">
              <w:rPr>
                <w:rFonts w:ascii="Times New Roman" w:eastAsia="Times New Roman" w:hAnsi="Times New Roman" w:cs="Times New Roman"/>
                <w:sz w:val="25"/>
                <w:szCs w:val="25"/>
              </w:rPr>
              <w:t>m                    +994553600303</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Elmi rəhbər</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rsidP="009B6C9D">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T.e.d. Nağıyev Yusif Qədir oğlu,ATU-nun Kliniki farmakologiya              kafedrasının professoru</w:t>
            </w:r>
            <w:r w:rsidR="009B6C9D">
              <w:rPr>
                <w:rFonts w:ascii="Times New Roman" w:eastAsia="Times New Roman" w:hAnsi="Times New Roman" w:cs="Times New Roman"/>
                <w:sz w:val="25"/>
                <w:szCs w:val="25"/>
              </w:rPr>
              <w:t xml:space="preserve"> </w:t>
            </w:r>
            <w:r w:rsidRPr="009B6C9D">
              <w:rPr>
                <w:rFonts w:ascii="Times New Roman" w:eastAsia="Times New Roman" w:hAnsi="Times New Roman" w:cs="Times New Roman"/>
                <w:sz w:val="25"/>
                <w:szCs w:val="25"/>
              </w:rPr>
              <w:t xml:space="preserve"> </w:t>
            </w:r>
            <w:r w:rsidR="009B6C9D">
              <w:rPr>
                <w:rFonts w:ascii="Times New Roman" w:eastAsia="Times New Roman" w:hAnsi="Times New Roman" w:cs="Times New Roman"/>
                <w:sz w:val="25"/>
                <w:szCs w:val="25"/>
              </w:rPr>
              <w:t xml:space="preserve">    </w:t>
            </w:r>
            <w:r w:rsidRPr="009B6C9D">
              <w:rPr>
                <w:rFonts w:ascii="Times New Roman" w:eastAsia="Times New Roman" w:hAnsi="Times New Roman" w:cs="Times New Roman"/>
                <w:sz w:val="25"/>
                <w:szCs w:val="25"/>
              </w:rPr>
              <w:t xml:space="preserve">dr.yus_naghiyev@mail.ru                                                       </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Elmi məsləhətçi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9B6C9D" w:rsidP="009B6C9D">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T.f.d. </w:t>
            </w:r>
            <w:r w:rsidRPr="009B6C9D">
              <w:rPr>
                <w:rFonts w:ascii="Times New Roman" w:eastAsia="Times New Roman" w:hAnsi="Times New Roman" w:cs="Times New Roman"/>
                <w:sz w:val="25"/>
                <w:szCs w:val="25"/>
              </w:rPr>
              <w:t>Firdovsi İbrahimov</w:t>
            </w:r>
            <w:r>
              <w:rPr>
                <w:rFonts w:ascii="Times New Roman" w:eastAsia="Times New Roman" w:hAnsi="Times New Roman" w:cs="Times New Roman"/>
                <w:sz w:val="25"/>
                <w:szCs w:val="25"/>
              </w:rPr>
              <w:t xml:space="preserve">, ATU Reanimatologiya kafedrasının dosenti; </w:t>
            </w:r>
            <w:r w:rsidR="00342707" w:rsidRPr="009B6C9D">
              <w:rPr>
                <w:rFonts w:ascii="Times New Roman" w:eastAsia="Times New Roman" w:hAnsi="Times New Roman" w:cs="Times New Roman"/>
                <w:sz w:val="25"/>
                <w:szCs w:val="25"/>
              </w:rPr>
              <w:t>M</w:t>
            </w:r>
            <w:r>
              <w:rPr>
                <w:rFonts w:ascii="Times New Roman" w:eastAsia="Times New Roman" w:hAnsi="Times New Roman" w:cs="Times New Roman"/>
                <w:sz w:val="25"/>
                <w:szCs w:val="25"/>
              </w:rPr>
              <w:t>KX-nın K</w:t>
            </w:r>
            <w:r w:rsidR="00342707" w:rsidRPr="009B6C9D">
              <w:rPr>
                <w:rFonts w:ascii="Times New Roman" w:eastAsia="Times New Roman" w:hAnsi="Times New Roman" w:cs="Times New Roman"/>
                <w:sz w:val="25"/>
                <w:szCs w:val="25"/>
              </w:rPr>
              <w:t>ardiologiya şöbə müdiri</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Sponsor</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Tədiqiatın yerinə yetiriləcəyi yerli təşkilat</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Azərbaycan Tibb Universiteti,</w:t>
            </w:r>
            <w:r w:rsidR="009B6C9D">
              <w:rPr>
                <w:rFonts w:ascii="Times New Roman" w:eastAsia="Times New Roman" w:hAnsi="Times New Roman" w:cs="Times New Roman"/>
                <w:sz w:val="25"/>
                <w:szCs w:val="25"/>
              </w:rPr>
              <w:t xml:space="preserve"> </w:t>
            </w:r>
            <w:r w:rsidRPr="009B6C9D">
              <w:rPr>
                <w:rFonts w:ascii="Times New Roman" w:eastAsia="Times New Roman" w:hAnsi="Times New Roman" w:cs="Times New Roman"/>
                <w:sz w:val="25"/>
                <w:szCs w:val="25"/>
              </w:rPr>
              <w:t>Mərkəzi Klinik Xəstəxana</w:t>
            </w:r>
            <w:r w:rsidR="009B6C9D">
              <w:rPr>
                <w:rFonts w:ascii="Times New Roman" w:eastAsia="Times New Roman" w:hAnsi="Times New Roman" w:cs="Times New Roman"/>
                <w:sz w:val="25"/>
                <w:szCs w:val="25"/>
              </w:rPr>
              <w:t>sı</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Tədiqiatın yerinə yetiriləcəyi xarici təşkilat (lar)</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Şəhər və il</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Bakı 2021</w:t>
            </w: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Koordinasiya şurasına ilkin və sonrakı müraciət tarixi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AMEA qeydiyyat nömrəsi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jc w:val="cente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 tarixi</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A44D6">
            <w:pPr>
              <w:rPr>
                <w:rFonts w:ascii="Times New Roman" w:eastAsia="Times New Roman" w:hAnsi="Times New Roman" w:cs="Times New Roman"/>
                <w:sz w:val="25"/>
                <w:szCs w:val="25"/>
              </w:rPr>
            </w:pPr>
          </w:p>
        </w:tc>
      </w:tr>
      <w:tr w:rsidR="003A44D6">
        <w:tc>
          <w:tcPr>
            <w:tcW w:w="2628" w:type="dxa"/>
            <w:tcBorders>
              <w:top w:val="dotted" w:sz="4" w:space="0" w:color="000000"/>
              <w:left w:val="dotted" w:sz="4" w:space="0" w:color="000000"/>
              <w:bottom w:val="dotted" w:sz="4" w:space="0" w:color="000000"/>
              <w:right w:val="dotted" w:sz="4" w:space="0" w:color="000000"/>
            </w:tcBorders>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Maraqların toqquşması</w:t>
            </w:r>
          </w:p>
        </w:tc>
        <w:tc>
          <w:tcPr>
            <w:tcW w:w="6910" w:type="dxa"/>
            <w:tcBorders>
              <w:top w:val="dotted" w:sz="4" w:space="0" w:color="000000"/>
              <w:left w:val="dotted" w:sz="4" w:space="0" w:color="000000"/>
              <w:bottom w:val="dotted" w:sz="4" w:space="0" w:color="000000"/>
              <w:right w:val="dotted" w:sz="4" w:space="0" w:color="000000"/>
            </w:tcBorders>
          </w:tcPr>
          <w:p w:rsidR="003A44D6" w:rsidRPr="009B6C9D" w:rsidRDefault="00342707">
            <w:pPr>
              <w:rPr>
                <w:rFonts w:ascii="Times New Roman" w:eastAsia="Times New Roman" w:hAnsi="Times New Roman" w:cs="Times New Roman"/>
                <w:sz w:val="25"/>
                <w:szCs w:val="25"/>
              </w:rPr>
            </w:pPr>
            <w:r w:rsidRPr="009B6C9D">
              <w:rPr>
                <w:rFonts w:ascii="Times New Roman" w:eastAsia="Times New Roman" w:hAnsi="Times New Roman" w:cs="Times New Roman"/>
                <w:sz w:val="25"/>
                <w:szCs w:val="25"/>
              </w:rPr>
              <w:t xml:space="preserve">                                                Yoxdur</w:t>
            </w:r>
          </w:p>
        </w:tc>
      </w:tr>
    </w:tbl>
    <w:p w:rsidR="003A44D6" w:rsidRDefault="00342707" w:rsidP="00A578F5">
      <w:pPr>
        <w:jc w:val="center"/>
        <w:rPr>
          <w:rFonts w:ascii="Times New Roman" w:eastAsia="Times New Roman" w:hAnsi="Times New Roman" w:cs="Times New Roman"/>
          <w:b/>
          <w:sz w:val="36"/>
          <w:szCs w:val="36"/>
        </w:rPr>
      </w:pPr>
      <w:r>
        <w:br w:type="page"/>
      </w:r>
      <w:r>
        <w:rPr>
          <w:rFonts w:ascii="Times New Roman" w:eastAsia="Times New Roman" w:hAnsi="Times New Roman" w:cs="Times New Roman"/>
          <w:b/>
          <w:sz w:val="36"/>
          <w:szCs w:val="36"/>
        </w:rPr>
        <w:lastRenderedPageBreak/>
        <w:t>TƏDQİQATIN MƏZMUNU</w:t>
      </w:r>
    </w:p>
    <w:tbl>
      <w:tblPr>
        <w:tblStyle w:val="af0"/>
        <w:tblW w:w="10020" w:type="dxa"/>
        <w:tblInd w:w="-45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50"/>
        <w:gridCol w:w="7815"/>
        <w:gridCol w:w="255"/>
      </w:tblGrid>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adı</w:t>
            </w:r>
          </w:p>
        </w:tc>
        <w:tc>
          <w:tcPr>
            <w:tcW w:w="7815" w:type="dxa"/>
          </w:tcPr>
          <w:p w:rsidR="003A44D6" w:rsidRPr="00AA4330" w:rsidRDefault="00342707" w:rsidP="009B6C9D">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Covid-19 xəstəliyi keçirmiş pasiyentlərdə</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koronar ateroskleroz gedişatının xüsusiyyətləri və koronar stentləmənin nəticələri</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Problem</w:t>
            </w:r>
          </w:p>
        </w:tc>
        <w:tc>
          <w:tcPr>
            <w:tcW w:w="7815" w:type="dxa"/>
          </w:tcPr>
          <w:p w:rsidR="003A44D6" w:rsidRPr="00AA4330" w:rsidRDefault="00342707" w:rsidP="00461A46">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 xml:space="preserve">Pandemiya səbəbindən ürəyin işemik xəstəliyindən </w:t>
            </w:r>
            <w:r w:rsidR="009B6C9D" w:rsidRPr="00AA4330">
              <w:rPr>
                <w:rFonts w:ascii="Times New Roman" w:eastAsia="Times New Roman" w:hAnsi="Times New Roman" w:cs="Times New Roman"/>
                <w:sz w:val="25"/>
                <w:szCs w:val="25"/>
              </w:rPr>
              <w:t xml:space="preserve">(ÜİX-dən) </w:t>
            </w:r>
            <w:r w:rsidRPr="00AA4330">
              <w:rPr>
                <w:rFonts w:ascii="Times New Roman" w:eastAsia="Times New Roman" w:hAnsi="Times New Roman" w:cs="Times New Roman"/>
                <w:sz w:val="25"/>
                <w:szCs w:val="25"/>
              </w:rPr>
              <w:t>əziyyət çəkən pasiyentlərin sayı koronavirus infeksiyasını keçirdikləri üçün durmadan artır.</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Məlumdur ki,</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Covid-19 trombəmələgəlmə sistemini aktivləşdiri</w:t>
            </w:r>
            <w:r w:rsidR="009B6C9D" w:rsidRPr="00AA4330">
              <w:rPr>
                <w:rFonts w:ascii="Times New Roman" w:eastAsia="Times New Roman" w:hAnsi="Times New Roman" w:cs="Times New Roman"/>
                <w:sz w:val="25"/>
                <w:szCs w:val="25"/>
              </w:rPr>
              <w:t>r</w:t>
            </w:r>
            <w:r w:rsidRPr="00AA4330">
              <w:rPr>
                <w:rFonts w:ascii="Times New Roman" w:eastAsia="Times New Roman" w:hAnsi="Times New Roman" w:cs="Times New Roman"/>
                <w:sz w:val="25"/>
                <w:szCs w:val="25"/>
              </w:rPr>
              <w:t>,</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sistemli iltihab və endotelial disfunksiya yaradır,</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fatal nəticələrin riskini artırır.</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Protrombogen proseslərin aktivləşməsi qocalmış p</w:t>
            </w:r>
            <w:r w:rsidR="009B6C9D" w:rsidRPr="00AA4330">
              <w:rPr>
                <w:rFonts w:ascii="Times New Roman" w:eastAsia="Times New Roman" w:hAnsi="Times New Roman" w:cs="Times New Roman"/>
                <w:sz w:val="25"/>
                <w:szCs w:val="25"/>
              </w:rPr>
              <w:t>iləyin</w:t>
            </w:r>
            <w:r w:rsidRPr="00AA4330">
              <w:rPr>
                <w:rFonts w:ascii="Times New Roman" w:eastAsia="Times New Roman" w:hAnsi="Times New Roman" w:cs="Times New Roman"/>
                <w:sz w:val="25"/>
                <w:szCs w:val="25"/>
              </w:rPr>
              <w:t xml:space="preserve"> </w:t>
            </w:r>
            <w:r w:rsidR="009B6C9D" w:rsidRPr="00AA4330">
              <w:rPr>
                <w:rFonts w:ascii="Times New Roman" w:eastAsia="Times New Roman" w:hAnsi="Times New Roman" w:cs="Times New Roman"/>
                <w:sz w:val="25"/>
                <w:szCs w:val="25"/>
              </w:rPr>
              <w:t xml:space="preserve">cırılma </w:t>
            </w:r>
            <w:r w:rsidRPr="00AA4330">
              <w:rPr>
                <w:rFonts w:ascii="Times New Roman" w:eastAsia="Times New Roman" w:hAnsi="Times New Roman" w:cs="Times New Roman"/>
                <w:sz w:val="25"/>
                <w:szCs w:val="25"/>
              </w:rPr>
              <w:t>ehtimalını artırır.</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Bununla əlaqədar olaraq,</w:t>
            </w:r>
            <w:r w:rsidR="009B6C9D" w:rsidRPr="00AA4330">
              <w:rPr>
                <w:rFonts w:ascii="Times New Roman" w:eastAsia="Times New Roman" w:hAnsi="Times New Roman" w:cs="Times New Roman"/>
                <w:sz w:val="25"/>
                <w:szCs w:val="25"/>
              </w:rPr>
              <w:t xml:space="preserve"> ÜİX olan pasiyentlərdə COVİD-19 </w:t>
            </w:r>
            <w:r w:rsidRPr="00AA4330">
              <w:rPr>
                <w:rFonts w:ascii="Times New Roman" w:eastAsia="Times New Roman" w:hAnsi="Times New Roman" w:cs="Times New Roman"/>
                <w:sz w:val="25"/>
                <w:szCs w:val="25"/>
              </w:rPr>
              <w:t>keçirdikdən sonra hemostaz sisteminin koaqulyasi</w:t>
            </w:r>
            <w:r w:rsidR="009B6C9D" w:rsidRPr="00AA4330">
              <w:rPr>
                <w:rFonts w:ascii="Times New Roman" w:eastAsia="Times New Roman" w:hAnsi="Times New Roman" w:cs="Times New Roman"/>
                <w:sz w:val="25"/>
                <w:szCs w:val="25"/>
              </w:rPr>
              <w:t>ya</w:t>
            </w:r>
            <w:r w:rsidRPr="00AA4330">
              <w:rPr>
                <w:rFonts w:ascii="Times New Roman" w:eastAsia="Times New Roman" w:hAnsi="Times New Roman" w:cs="Times New Roman"/>
                <w:sz w:val="25"/>
                <w:szCs w:val="25"/>
              </w:rPr>
              <w:t xml:space="preserve"> </w:t>
            </w:r>
            <w:r w:rsidR="009B6C9D" w:rsidRPr="00AA4330">
              <w:rPr>
                <w:rFonts w:ascii="Times New Roman" w:eastAsia="Times New Roman" w:hAnsi="Times New Roman" w:cs="Times New Roman"/>
                <w:sz w:val="25"/>
                <w:szCs w:val="25"/>
              </w:rPr>
              <w:t xml:space="preserve">kaskadın </w:t>
            </w:r>
            <w:r w:rsidRPr="00AA4330">
              <w:rPr>
                <w:rFonts w:ascii="Times New Roman" w:eastAsia="Times New Roman" w:hAnsi="Times New Roman" w:cs="Times New Roman"/>
                <w:sz w:val="25"/>
                <w:szCs w:val="25"/>
              </w:rPr>
              <w:t xml:space="preserve">aktivasiyasının </w:t>
            </w:r>
            <w:r w:rsidR="009B6C9D" w:rsidRPr="00AA4330">
              <w:rPr>
                <w:rFonts w:ascii="Times New Roman" w:eastAsia="Times New Roman" w:hAnsi="Times New Roman" w:cs="Times New Roman"/>
                <w:sz w:val="25"/>
                <w:szCs w:val="25"/>
              </w:rPr>
              <w:t xml:space="preserve">markerlərinin (D-Dimer, </w:t>
            </w:r>
            <w:r w:rsidR="00461A46" w:rsidRPr="00AA4330">
              <w:rPr>
                <w:rFonts w:ascii="Times New Roman" w:eastAsia="Times New Roman" w:hAnsi="Times New Roman" w:cs="Times New Roman"/>
                <w:sz w:val="25"/>
                <w:szCs w:val="25"/>
              </w:rPr>
              <w:t xml:space="preserve">matriks metalloproteinaz, </w:t>
            </w:r>
            <w:r w:rsidR="009B6C9D" w:rsidRPr="00AA4330">
              <w:rPr>
                <w:rFonts w:ascii="Times New Roman" w:eastAsia="Times New Roman" w:hAnsi="Times New Roman" w:cs="Times New Roman"/>
                <w:sz w:val="25"/>
                <w:szCs w:val="25"/>
              </w:rPr>
              <w:t xml:space="preserve">MMP) </w:t>
            </w:r>
            <w:r w:rsidRPr="00AA4330">
              <w:rPr>
                <w:rFonts w:ascii="Times New Roman" w:eastAsia="Times New Roman" w:hAnsi="Times New Roman" w:cs="Times New Roman"/>
                <w:sz w:val="25"/>
                <w:szCs w:val="25"/>
              </w:rPr>
              <w:t>öyrənilməsi xüsusi maraq  doğurur.</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color w:val="0070C0"/>
                <w:sz w:val="25"/>
                <w:szCs w:val="25"/>
              </w:rPr>
              <w:t>Hansılar ki,</w:t>
            </w:r>
            <w:r w:rsidR="009B6C9D"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iltihab biomarkerləri və endotelial disfunksiyanın ehtimal olunan inkişaf prediktorları,</w:t>
            </w:r>
            <w:r w:rsidR="009B6C9D"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kəskin koronar sindrom</w:t>
            </w:r>
            <w:r w:rsidR="009B6C9D" w:rsidRPr="00AA4330">
              <w:rPr>
                <w:rFonts w:ascii="Times New Roman" w:eastAsia="Times New Roman" w:hAnsi="Times New Roman" w:cs="Times New Roman"/>
                <w:color w:val="0070C0"/>
                <w:sz w:val="25"/>
                <w:szCs w:val="25"/>
              </w:rPr>
              <w:t xml:space="preserve"> (ACS)</w:t>
            </w:r>
            <w:r w:rsidRPr="00AA4330">
              <w:rPr>
                <w:rFonts w:ascii="Times New Roman" w:eastAsia="Times New Roman" w:hAnsi="Times New Roman" w:cs="Times New Roman"/>
                <w:color w:val="0070C0"/>
                <w:sz w:val="25"/>
                <w:szCs w:val="25"/>
              </w:rPr>
              <w:t>,</w:t>
            </w:r>
            <w:r w:rsidR="009B6C9D"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serebrovaskulyar ağırlaşmalar,</w:t>
            </w:r>
            <w:r w:rsidR="009B6C9D"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ürək-damar ölümləri yaradır.</w:t>
            </w:r>
            <w:r w:rsidR="009B6C9D"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sz w:val="25"/>
                <w:szCs w:val="25"/>
              </w:rPr>
              <w:t xml:space="preserve">Ona görə də </w:t>
            </w:r>
            <w:r w:rsidR="009B6C9D" w:rsidRPr="00AA4330">
              <w:rPr>
                <w:rFonts w:ascii="Times New Roman" w:eastAsia="Times New Roman" w:hAnsi="Times New Roman" w:cs="Times New Roman"/>
                <w:sz w:val="25"/>
                <w:szCs w:val="25"/>
              </w:rPr>
              <w:t xml:space="preserve">COVİD-19 </w:t>
            </w:r>
            <w:r w:rsidRPr="00AA4330">
              <w:rPr>
                <w:rFonts w:ascii="Times New Roman" w:eastAsia="Times New Roman" w:hAnsi="Times New Roman" w:cs="Times New Roman"/>
                <w:sz w:val="25"/>
                <w:szCs w:val="25"/>
              </w:rPr>
              <w:t>sonrakı dövrdə ÜİX-nin gedişatı,</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miokardın disfunksiyası,</w:t>
            </w:r>
            <w:r w:rsidR="009B6C9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invaziv strategiyanın effektivliyi,</w:t>
            </w:r>
            <w:r w:rsidR="004F1DF5"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koronar aterosklerozun proqressivləşməsinin sürətinin öyrənilməsi və yüksək riskli ürək-damar xəstəliklərinin </w:t>
            </w:r>
            <w:r w:rsidR="004F1DF5" w:rsidRPr="00AA4330">
              <w:rPr>
                <w:rFonts w:ascii="Times New Roman" w:eastAsia="Times New Roman" w:hAnsi="Times New Roman" w:cs="Times New Roman"/>
                <w:sz w:val="25"/>
                <w:szCs w:val="25"/>
              </w:rPr>
              <w:t xml:space="preserve">(ÜDX-nin) </w:t>
            </w:r>
            <w:r w:rsidRPr="00AA4330">
              <w:rPr>
                <w:rFonts w:ascii="Times New Roman" w:eastAsia="Times New Roman" w:hAnsi="Times New Roman" w:cs="Times New Roman"/>
                <w:sz w:val="25"/>
                <w:szCs w:val="25"/>
              </w:rPr>
              <w:t>instrumental və biokimyəvi markerlərinin müəyyənləşdirilməsi aktuallaşır.</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Məqsəd</w:t>
            </w:r>
          </w:p>
        </w:tc>
        <w:tc>
          <w:tcPr>
            <w:tcW w:w="7815" w:type="dxa"/>
          </w:tcPr>
          <w:p w:rsidR="003A44D6" w:rsidRPr="00AA4330" w:rsidRDefault="00342707" w:rsidP="006E74A4">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C</w:t>
            </w:r>
            <w:r w:rsidR="006E74A4" w:rsidRPr="00AA4330">
              <w:rPr>
                <w:rFonts w:ascii="Times New Roman" w:eastAsia="Times New Roman" w:hAnsi="Times New Roman" w:cs="Times New Roman"/>
                <w:color w:val="0070C0"/>
                <w:sz w:val="25"/>
                <w:szCs w:val="25"/>
              </w:rPr>
              <w:t>OVİD</w:t>
            </w:r>
            <w:r w:rsidRPr="00AA4330">
              <w:rPr>
                <w:rFonts w:ascii="Times New Roman" w:eastAsia="Times New Roman" w:hAnsi="Times New Roman" w:cs="Times New Roman"/>
                <w:color w:val="0070C0"/>
                <w:sz w:val="25"/>
                <w:szCs w:val="25"/>
              </w:rPr>
              <w:t>-19 xəstəliyini keçirmiş pasiyentlərdə ÜİX-nin gedişatını öyrənmək,</w:t>
            </w:r>
            <w:r w:rsidR="006E74A4"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bu xəstələrdə invaziv müdaxilələrdən sonra qarşıya qoyulmuş kliniki instrumental və biokimyəvi prediktorları müəyyənləşdirmək.</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 və müdaxilələr – (xəstə qrupları və müdaxilələr/proseduralar)</w:t>
            </w:r>
          </w:p>
        </w:tc>
        <w:tc>
          <w:tcPr>
            <w:tcW w:w="7815" w:type="dxa"/>
          </w:tcPr>
          <w:p w:rsidR="003A44D6" w:rsidRPr="00AA4330" w:rsidRDefault="00342707" w:rsidP="00490F3C">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C</w:t>
            </w:r>
            <w:r w:rsidR="006E74A4"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keçirmiş 201 pasiyentdə ÜİX-nin </w:t>
            </w:r>
            <w:r w:rsidRPr="00AA4330">
              <w:rPr>
                <w:rFonts w:ascii="Times New Roman" w:eastAsia="Times New Roman" w:hAnsi="Times New Roman" w:cs="Times New Roman"/>
                <w:color w:val="0070C0"/>
                <w:sz w:val="25"/>
                <w:szCs w:val="25"/>
              </w:rPr>
              <w:t>klinikasının</w:t>
            </w:r>
            <w:r w:rsidRPr="00AA4330">
              <w:rPr>
                <w:rFonts w:ascii="Times New Roman" w:eastAsia="Times New Roman" w:hAnsi="Times New Roman" w:cs="Times New Roman"/>
                <w:sz w:val="25"/>
                <w:szCs w:val="25"/>
              </w:rPr>
              <w:t xml:space="preserve"> əmələ gəlməsi və 201 ÜİX-i olan</w:t>
            </w:r>
            <w:r w:rsidR="006E74A4" w:rsidRPr="00AA4330">
              <w:rPr>
                <w:rFonts w:ascii="Times New Roman" w:eastAsia="Times New Roman" w:hAnsi="Times New Roman" w:cs="Times New Roman"/>
                <w:sz w:val="25"/>
                <w:szCs w:val="25"/>
              </w:rPr>
              <w:t xml:space="preserve">, lakin </w:t>
            </w:r>
            <w:r w:rsidRPr="00AA4330">
              <w:rPr>
                <w:rFonts w:ascii="Times New Roman" w:eastAsia="Times New Roman" w:hAnsi="Times New Roman" w:cs="Times New Roman"/>
                <w:sz w:val="25"/>
                <w:szCs w:val="25"/>
              </w:rPr>
              <w:t>C</w:t>
            </w:r>
            <w:r w:rsidR="006E74A4"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 keçirməmiş invaziv müdaxilə ilə dərmanlı stent qoyulmuş pasiyentlər seçiləcəkdir.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Anali</w:t>
            </w:r>
            <w:r w:rsidR="006E74A4" w:rsidRPr="00AA4330">
              <w:rPr>
                <w:rFonts w:ascii="Times New Roman" w:eastAsia="Times New Roman" w:hAnsi="Times New Roman" w:cs="Times New Roman"/>
                <w:sz w:val="25"/>
                <w:szCs w:val="25"/>
              </w:rPr>
              <w:t>z</w:t>
            </w:r>
            <w:r w:rsidRPr="00AA4330">
              <w:rPr>
                <w:rFonts w:ascii="Times New Roman" w:eastAsia="Times New Roman" w:hAnsi="Times New Roman" w:cs="Times New Roman"/>
                <w:sz w:val="25"/>
                <w:szCs w:val="25"/>
              </w:rPr>
              <w:t xml:space="preserve"> </w:t>
            </w:r>
            <w:r w:rsidR="006E74A4" w:rsidRPr="00AA4330">
              <w:rPr>
                <w:rFonts w:ascii="Times New Roman" w:eastAsia="Times New Roman" w:hAnsi="Times New Roman" w:cs="Times New Roman"/>
                <w:sz w:val="25"/>
                <w:szCs w:val="25"/>
              </w:rPr>
              <w:t xml:space="preserve">ÜDX </w:t>
            </w:r>
            <w:r w:rsidRPr="00AA4330">
              <w:rPr>
                <w:rFonts w:ascii="Times New Roman" w:eastAsia="Times New Roman" w:hAnsi="Times New Roman" w:cs="Times New Roman"/>
                <w:sz w:val="25"/>
                <w:szCs w:val="25"/>
              </w:rPr>
              <w:t>riski səviyyəsinə,</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koronar axımın zədələnməsinin ağırlığına</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(SYNTAX),</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miokardın nasos funksiyasına,</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iltihab biomarkerlərinə və endotelial disfunksiyasına,</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qanın koaqulyasiya potensialına və farmakoterapiyaya görə aparılacaqdır.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Cins</w:t>
            </w:r>
            <w:r w:rsidR="006E74A4" w:rsidRPr="00AA4330">
              <w:rPr>
                <w:rFonts w:ascii="Times New Roman" w:eastAsia="Times New Roman" w:hAnsi="Times New Roman" w:cs="Times New Roman"/>
                <w:sz w:val="25"/>
                <w:szCs w:val="25"/>
              </w:rPr>
              <w:t xml:space="preserve"> üzrə </w:t>
            </w:r>
            <w:r w:rsidRPr="00AA4330">
              <w:rPr>
                <w:rFonts w:ascii="Times New Roman" w:eastAsia="Times New Roman" w:hAnsi="Times New Roman" w:cs="Times New Roman"/>
                <w:sz w:val="25"/>
                <w:szCs w:val="25"/>
              </w:rPr>
              <w:t>pasiyentlər belə bölünəcəkdir:</w:t>
            </w:r>
            <w:r w:rsidR="006E74A4" w:rsidRPr="00AA4330">
              <w:rPr>
                <w:rFonts w:ascii="Times New Roman" w:eastAsia="Times New Roman" w:hAnsi="Times New Roman" w:cs="Times New Roman"/>
                <w:sz w:val="25"/>
                <w:szCs w:val="25"/>
              </w:rPr>
              <w:t xml:space="preserve"> k</w:t>
            </w:r>
            <w:r w:rsidRPr="00AA4330">
              <w:rPr>
                <w:rFonts w:ascii="Times New Roman" w:eastAsia="Times New Roman" w:hAnsi="Times New Roman" w:cs="Times New Roman"/>
                <w:sz w:val="25"/>
                <w:szCs w:val="25"/>
              </w:rPr>
              <w:t>işilər</w:t>
            </w:r>
            <w:r w:rsidR="006E74A4" w:rsidRPr="00AA4330">
              <w:rPr>
                <w:rFonts w:ascii="Times New Roman" w:eastAsia="Times New Roman" w:hAnsi="Times New Roman" w:cs="Times New Roman"/>
                <w:sz w:val="25"/>
                <w:szCs w:val="25"/>
              </w:rPr>
              <w:t xml:space="preserve"> – ən azı </w:t>
            </w:r>
            <w:r w:rsidRPr="00AA4330">
              <w:rPr>
                <w:rFonts w:ascii="Times New Roman" w:eastAsia="Times New Roman" w:hAnsi="Times New Roman" w:cs="Times New Roman"/>
                <w:sz w:val="25"/>
                <w:szCs w:val="25"/>
              </w:rPr>
              <w:t>70%,</w:t>
            </w:r>
            <w:r w:rsidR="006E74A4" w:rsidRPr="00AA4330">
              <w:rPr>
                <w:rFonts w:ascii="Times New Roman" w:eastAsia="Times New Roman" w:hAnsi="Times New Roman" w:cs="Times New Roman"/>
                <w:sz w:val="25"/>
                <w:szCs w:val="25"/>
              </w:rPr>
              <w:t xml:space="preserve"> yaş üzrə isə – </w:t>
            </w:r>
            <w:r w:rsidRPr="00AA4330">
              <w:rPr>
                <w:rFonts w:ascii="Times New Roman" w:eastAsia="Times New Roman" w:hAnsi="Times New Roman" w:cs="Times New Roman"/>
                <w:sz w:val="25"/>
                <w:szCs w:val="25"/>
              </w:rPr>
              <w:t>45-65 yaşl</w:t>
            </w:r>
            <w:r w:rsidR="006E74A4" w:rsidRPr="00AA4330">
              <w:rPr>
                <w:rFonts w:ascii="Times New Roman" w:eastAsia="Times New Roman" w:hAnsi="Times New Roman" w:cs="Times New Roman"/>
                <w:sz w:val="25"/>
                <w:szCs w:val="25"/>
              </w:rPr>
              <w:t>ı</w:t>
            </w:r>
            <w:r w:rsidRPr="00AA4330">
              <w:rPr>
                <w:rFonts w:ascii="Times New Roman" w:eastAsia="Times New Roman" w:hAnsi="Times New Roman" w:cs="Times New Roman"/>
                <w:sz w:val="25"/>
                <w:szCs w:val="25"/>
              </w:rPr>
              <w:t xml:space="preserve"> </w:t>
            </w:r>
            <w:r w:rsidR="006E74A4" w:rsidRPr="00AA4330">
              <w:rPr>
                <w:rFonts w:ascii="Times New Roman" w:eastAsia="Times New Roman" w:hAnsi="Times New Roman" w:cs="Times New Roman"/>
                <w:sz w:val="25"/>
                <w:szCs w:val="25"/>
              </w:rPr>
              <w:t xml:space="preserve">xəstələr cəlb olunacaq. Xəstələr </w:t>
            </w:r>
            <w:r w:rsidRPr="00AA4330">
              <w:rPr>
                <w:rFonts w:ascii="Times New Roman" w:eastAsia="Times New Roman" w:hAnsi="Times New Roman" w:cs="Times New Roman"/>
                <w:sz w:val="25"/>
                <w:szCs w:val="25"/>
              </w:rPr>
              <w:t>M</w:t>
            </w:r>
            <w:r w:rsidR="006E74A4" w:rsidRPr="00AA4330">
              <w:rPr>
                <w:rFonts w:ascii="Times New Roman" w:eastAsia="Times New Roman" w:hAnsi="Times New Roman" w:cs="Times New Roman"/>
                <w:sz w:val="25"/>
                <w:szCs w:val="25"/>
              </w:rPr>
              <w:t>KX-nın</w:t>
            </w:r>
            <w:r w:rsidRPr="00AA4330">
              <w:rPr>
                <w:rFonts w:ascii="Times New Roman" w:eastAsia="Times New Roman" w:hAnsi="Times New Roman" w:cs="Times New Roman"/>
                <w:sz w:val="25"/>
                <w:szCs w:val="25"/>
              </w:rPr>
              <w:t xml:space="preserve"> </w:t>
            </w:r>
            <w:r w:rsidR="006E74A4" w:rsidRPr="00AA4330">
              <w:rPr>
                <w:rFonts w:ascii="Times New Roman" w:eastAsia="Times New Roman" w:hAnsi="Times New Roman" w:cs="Times New Roman"/>
                <w:sz w:val="25"/>
                <w:szCs w:val="25"/>
              </w:rPr>
              <w:t xml:space="preserve">Kardioloqiya şöbəsinə daxil olan və ya ambulator olaraq müraciət edən </w:t>
            </w:r>
            <w:r w:rsidRPr="00AA4330">
              <w:rPr>
                <w:rFonts w:ascii="Times New Roman" w:eastAsia="Times New Roman" w:hAnsi="Times New Roman" w:cs="Times New Roman"/>
                <w:sz w:val="25"/>
                <w:szCs w:val="25"/>
              </w:rPr>
              <w:t>pasiyentlərdən seçiləcə</w:t>
            </w:r>
            <w:r w:rsidR="006E74A4" w:rsidRPr="00AA4330">
              <w:rPr>
                <w:rFonts w:ascii="Times New Roman" w:eastAsia="Times New Roman" w:hAnsi="Times New Roman" w:cs="Times New Roman"/>
                <w:sz w:val="25"/>
                <w:szCs w:val="25"/>
              </w:rPr>
              <w:t>lə</w:t>
            </w:r>
            <w:r w:rsidRPr="00AA4330">
              <w:rPr>
                <w:rFonts w:ascii="Times New Roman" w:eastAsia="Times New Roman" w:hAnsi="Times New Roman" w:cs="Times New Roman"/>
                <w:sz w:val="25"/>
                <w:szCs w:val="25"/>
              </w:rPr>
              <w:t>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Pasiyentlərin seçilməsində əsas kriteriya perkutan koronar müdaxilə olunmuş,</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dərmanlı stent implantasiya edilmiş xəstələr olacaq.</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Açıq üsulla xəstələr 2 qrupa bölünəcək:</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6E74A4"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-19-a yoluxmuş xəstələr və C</w:t>
            </w:r>
            <w:r w:rsidR="006E74A4"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-19-a yoluxmamış xəstələr.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Pasiyentlər müayinələrdə iştirak etmək üçün </w:t>
            </w:r>
            <w:r w:rsidR="006E74A4" w:rsidRPr="00AA4330">
              <w:rPr>
                <w:rFonts w:ascii="Times New Roman" w:eastAsia="Times New Roman" w:hAnsi="Times New Roman" w:cs="Times New Roman"/>
                <w:sz w:val="25"/>
                <w:szCs w:val="25"/>
              </w:rPr>
              <w:t>Mə</w:t>
            </w:r>
            <w:r w:rsidRPr="00AA4330">
              <w:rPr>
                <w:rFonts w:ascii="Times New Roman" w:eastAsia="Times New Roman" w:hAnsi="Times New Roman" w:cs="Times New Roman"/>
                <w:sz w:val="25"/>
                <w:szCs w:val="25"/>
              </w:rPr>
              <w:t>lumat</w:t>
            </w:r>
            <w:r w:rsidR="006E74A4" w:rsidRPr="00AA4330">
              <w:rPr>
                <w:rFonts w:ascii="Times New Roman" w:eastAsia="Times New Roman" w:hAnsi="Times New Roman" w:cs="Times New Roman"/>
                <w:sz w:val="25"/>
                <w:szCs w:val="25"/>
              </w:rPr>
              <w:t>lı</w:t>
            </w:r>
            <w:r w:rsidRPr="00AA4330">
              <w:rPr>
                <w:rFonts w:ascii="Times New Roman" w:eastAsia="Times New Roman" w:hAnsi="Times New Roman" w:cs="Times New Roman"/>
                <w:sz w:val="25"/>
                <w:szCs w:val="25"/>
              </w:rPr>
              <w:t xml:space="preserve"> </w:t>
            </w:r>
            <w:r w:rsidR="006E74A4" w:rsidRPr="00AA4330">
              <w:rPr>
                <w:rFonts w:ascii="Times New Roman" w:eastAsia="Times New Roman" w:hAnsi="Times New Roman" w:cs="Times New Roman"/>
                <w:sz w:val="25"/>
                <w:szCs w:val="25"/>
              </w:rPr>
              <w:t>R</w:t>
            </w:r>
            <w:r w:rsidRPr="00AA4330">
              <w:rPr>
                <w:rFonts w:ascii="Times New Roman" w:eastAsia="Times New Roman" w:hAnsi="Times New Roman" w:cs="Times New Roman"/>
                <w:sz w:val="25"/>
                <w:szCs w:val="25"/>
              </w:rPr>
              <w:t>azılıq</w:t>
            </w:r>
            <w:r w:rsidR="006E74A4" w:rsidRPr="00AA4330">
              <w:rPr>
                <w:rFonts w:ascii="Times New Roman" w:eastAsia="Times New Roman" w:hAnsi="Times New Roman" w:cs="Times New Roman"/>
                <w:sz w:val="25"/>
                <w:szCs w:val="25"/>
              </w:rPr>
              <w:t xml:space="preserve"> blankını </w:t>
            </w:r>
            <w:r w:rsidRPr="00AA4330">
              <w:rPr>
                <w:rFonts w:ascii="Times New Roman" w:eastAsia="Times New Roman" w:hAnsi="Times New Roman" w:cs="Times New Roman"/>
                <w:sz w:val="25"/>
                <w:szCs w:val="25"/>
              </w:rPr>
              <w:t>imza edəcəklər.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Koronar damar stentləməsindən sonra 1 il ərzində hər ay 3 dəfə telefonla,</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hər 3 ayda</w:t>
            </w:r>
            <w:r w:rsidR="006E74A4" w:rsidRPr="00AA4330">
              <w:rPr>
                <w:rFonts w:ascii="Times New Roman" w:eastAsia="Times New Roman" w:hAnsi="Times New Roman" w:cs="Times New Roman"/>
                <w:sz w:val="25"/>
                <w:szCs w:val="25"/>
              </w:rPr>
              <w:t>n</w:t>
            </w:r>
            <w:r w:rsidRPr="00AA4330">
              <w:rPr>
                <w:rFonts w:ascii="Times New Roman" w:eastAsia="Times New Roman" w:hAnsi="Times New Roman" w:cs="Times New Roman"/>
                <w:sz w:val="25"/>
                <w:szCs w:val="25"/>
              </w:rPr>
              <w:t xml:space="preserve"> </w:t>
            </w:r>
            <w:r w:rsidR="006E74A4" w:rsidRPr="00AA4330">
              <w:rPr>
                <w:rFonts w:ascii="Times New Roman" w:eastAsia="Times New Roman" w:hAnsi="Times New Roman" w:cs="Times New Roman"/>
                <w:sz w:val="25"/>
                <w:szCs w:val="25"/>
              </w:rPr>
              <w:t xml:space="preserve">bir </w:t>
            </w:r>
            <w:r w:rsidRPr="00AA4330">
              <w:rPr>
                <w:rFonts w:ascii="Times New Roman" w:eastAsia="Times New Roman" w:hAnsi="Times New Roman" w:cs="Times New Roman"/>
                <w:sz w:val="25"/>
                <w:szCs w:val="25"/>
              </w:rPr>
              <w:t xml:space="preserve">isə </w:t>
            </w:r>
            <w:r w:rsidR="006E74A4" w:rsidRPr="00AA4330">
              <w:rPr>
                <w:rFonts w:ascii="Times New Roman" w:eastAsia="Times New Roman" w:hAnsi="Times New Roman" w:cs="Times New Roman"/>
                <w:sz w:val="25"/>
                <w:szCs w:val="25"/>
              </w:rPr>
              <w:t>MKX-</w:t>
            </w:r>
            <w:r w:rsidRPr="00AA4330">
              <w:rPr>
                <w:rFonts w:ascii="Times New Roman" w:eastAsia="Times New Roman" w:hAnsi="Times New Roman" w:cs="Times New Roman"/>
                <w:sz w:val="25"/>
                <w:szCs w:val="25"/>
              </w:rPr>
              <w:t>da müayinə olunacaqlar.</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Hər bir xəstəyə </w:t>
            </w:r>
            <w:r w:rsidR="00490F3C" w:rsidRPr="00AA4330">
              <w:rPr>
                <w:rFonts w:ascii="Times New Roman" w:eastAsia="Times New Roman" w:hAnsi="Times New Roman" w:cs="Times New Roman"/>
                <w:sz w:val="25"/>
                <w:szCs w:val="25"/>
              </w:rPr>
              <w:t>“Pasiyentin m</w:t>
            </w:r>
            <w:r w:rsidR="006E74A4" w:rsidRPr="00AA4330">
              <w:rPr>
                <w:rFonts w:ascii="Times New Roman" w:eastAsia="Times New Roman" w:hAnsi="Times New Roman" w:cs="Times New Roman"/>
                <w:sz w:val="25"/>
                <w:szCs w:val="25"/>
              </w:rPr>
              <w:t xml:space="preserve">üayinə </w:t>
            </w:r>
            <w:r w:rsidR="00490F3C" w:rsidRPr="00AA4330">
              <w:rPr>
                <w:rFonts w:ascii="Times New Roman" w:eastAsia="Times New Roman" w:hAnsi="Times New Roman" w:cs="Times New Roman"/>
                <w:sz w:val="25"/>
                <w:szCs w:val="25"/>
              </w:rPr>
              <w:t>k</w:t>
            </w:r>
            <w:r w:rsidR="006E74A4" w:rsidRPr="00AA4330">
              <w:rPr>
                <w:rFonts w:ascii="Times New Roman" w:eastAsia="Times New Roman" w:hAnsi="Times New Roman" w:cs="Times New Roman"/>
                <w:sz w:val="25"/>
                <w:szCs w:val="25"/>
              </w:rPr>
              <w:t>artı</w:t>
            </w:r>
            <w:r w:rsidR="00490F3C" w:rsidRPr="00AA4330">
              <w:rPr>
                <w:rFonts w:ascii="Times New Roman" w:eastAsia="Times New Roman" w:hAnsi="Times New Roman" w:cs="Times New Roman"/>
                <w:sz w:val="25"/>
                <w:szCs w:val="25"/>
              </w:rPr>
              <w:t>”</w:t>
            </w:r>
            <w:r w:rsidR="006E74A4"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açılacaqdır və bura bütün nəticələr qeyd olunacaqdır.</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Əsas qiymətləndirmə kriteriyası və onun ölçmə metodu</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 xml:space="preserve">Əsas kriteriya(primary outcome) </w:t>
            </w:r>
          </w:p>
          <w:p w:rsidR="003A44D6" w:rsidRPr="00AA4330" w:rsidRDefault="00342707" w:rsidP="00490F3C">
            <w:pPr>
              <w:jc w:val="both"/>
              <w:rPr>
                <w:rFonts w:ascii="Times New Roman" w:eastAsia="Times New Roman" w:hAnsi="Times New Roman" w:cs="Times New Roman"/>
                <w:sz w:val="25"/>
                <w:szCs w:val="25"/>
              </w:rPr>
            </w:pPr>
            <w:r w:rsidRPr="00AA4330">
              <w:rPr>
                <w:rFonts w:ascii="Times New Roman" w:eastAsia="Times New Roman" w:hAnsi="Times New Roman" w:cs="Times New Roman"/>
                <w:color w:val="0070C0"/>
                <w:sz w:val="25"/>
                <w:szCs w:val="25"/>
              </w:rPr>
              <w:t>Strain Echo:LV strain-rate</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Əlavə qiymətləndirmə kriteriyaları və onların ölçmə metodları</w:t>
            </w:r>
          </w:p>
        </w:tc>
        <w:tc>
          <w:tcPr>
            <w:tcW w:w="7815" w:type="dxa"/>
          </w:tcPr>
          <w:p w:rsidR="00490F3C" w:rsidRPr="00AA4330" w:rsidRDefault="00490F3C" w:rsidP="00490F3C">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Exokardioqrafiya</w:t>
            </w:r>
          </w:p>
          <w:p w:rsidR="00490F3C" w:rsidRPr="00AA4330" w:rsidRDefault="00490F3C" w:rsidP="00490F3C">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EKQ Stress-test (Ttredmil-də)</w:t>
            </w:r>
          </w:p>
          <w:p w:rsidR="00490F3C" w:rsidRPr="00AA4330" w:rsidRDefault="00490F3C" w:rsidP="00490F3C">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Ambulator EKQ monitorinqi (Holter ECG)</w:t>
            </w:r>
          </w:p>
          <w:p w:rsidR="00490F3C" w:rsidRPr="00AA4330" w:rsidRDefault="00490F3C" w:rsidP="00490F3C">
            <w:pPr>
              <w:jc w:val="both"/>
              <w:rPr>
                <w:rFonts w:ascii="Times New Roman" w:eastAsia="Times New Roman" w:hAnsi="Times New Roman" w:cs="Times New Roman"/>
                <w:sz w:val="25"/>
                <w:szCs w:val="25"/>
              </w:rPr>
            </w:pPr>
          </w:p>
          <w:p w:rsidR="003A44D6" w:rsidRPr="00AA4330" w:rsidRDefault="003A44D6">
            <w:pPr>
              <w:jc w:val="both"/>
              <w:rPr>
                <w:rFonts w:ascii="Times New Roman" w:eastAsia="Times New Roman" w:hAnsi="Times New Roman" w:cs="Times New Roman"/>
                <w:sz w:val="25"/>
                <w:szCs w:val="25"/>
              </w:rPr>
            </w:pP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Açar sözlər</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C</w:t>
            </w:r>
            <w:r w:rsidR="00490F3C" w:rsidRPr="00AA4330">
              <w:rPr>
                <w:rFonts w:ascii="Times New Roman" w:eastAsia="Times New Roman" w:hAnsi="Times New Roman" w:cs="Times New Roman"/>
                <w:color w:val="0070C0"/>
                <w:sz w:val="25"/>
                <w:szCs w:val="25"/>
              </w:rPr>
              <w:t>OVİD</w:t>
            </w:r>
            <w:r w:rsidRPr="00AA4330">
              <w:rPr>
                <w:rFonts w:ascii="Times New Roman" w:eastAsia="Times New Roman" w:hAnsi="Times New Roman" w:cs="Times New Roman"/>
                <w:color w:val="0070C0"/>
                <w:sz w:val="25"/>
                <w:szCs w:val="25"/>
              </w:rPr>
              <w:t>-19,</w:t>
            </w:r>
            <w:r w:rsidR="00490F3C" w:rsidRPr="00AA4330">
              <w:rPr>
                <w:rFonts w:ascii="Times New Roman" w:eastAsia="Times New Roman" w:hAnsi="Times New Roman" w:cs="Times New Roman"/>
                <w:color w:val="0070C0"/>
                <w:sz w:val="25"/>
                <w:szCs w:val="25"/>
              </w:rPr>
              <w:t xml:space="preserve"> ÜİX, </w:t>
            </w:r>
            <w:r w:rsidRPr="00AA4330">
              <w:rPr>
                <w:rFonts w:ascii="Times New Roman" w:eastAsia="Times New Roman" w:hAnsi="Times New Roman" w:cs="Times New Roman"/>
                <w:color w:val="0070C0"/>
                <w:sz w:val="25"/>
                <w:szCs w:val="25"/>
              </w:rPr>
              <w:t>Strain Eco,</w:t>
            </w:r>
            <w:r w:rsidR="00490F3C"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biomarkers</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Obyektinə görə işin növü</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 xml:space="preserve">Klinik </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Məqsədinə görə işin növü</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Diaqnostika,</w:t>
            </w:r>
            <w:r w:rsidR="002C1DF0"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Skrining</w:t>
            </w:r>
          </w:p>
          <w:p w:rsidR="003A44D6" w:rsidRPr="00AA4330" w:rsidRDefault="003A44D6">
            <w:pPr>
              <w:jc w:val="both"/>
              <w:rPr>
                <w:rFonts w:ascii="Times New Roman" w:eastAsia="Times New Roman" w:hAnsi="Times New Roman" w:cs="Times New Roman"/>
                <w:b/>
                <w:color w:val="0070C0"/>
                <w:sz w:val="25"/>
                <w:szCs w:val="25"/>
              </w:rPr>
            </w:pPr>
          </w:p>
        </w:tc>
        <w:tc>
          <w:tcPr>
            <w:tcW w:w="255" w:type="dxa"/>
          </w:tcPr>
          <w:p w:rsidR="003A44D6" w:rsidRDefault="003A44D6">
            <w:pPr>
              <w:jc w:val="both"/>
              <w:rPr>
                <w:rFonts w:ascii="Times New Roman" w:eastAsia="Times New Roman" w:hAnsi="Times New Roman" w:cs="Times New Roman"/>
                <w:b/>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Vaxta görə işin növü</w:t>
            </w:r>
          </w:p>
        </w:tc>
        <w:tc>
          <w:tcPr>
            <w:tcW w:w="7815" w:type="dxa"/>
          </w:tcPr>
          <w:p w:rsidR="003A44D6" w:rsidRPr="00AA4330" w:rsidRDefault="00342707">
            <w:pPr>
              <w:shd w:val="clear" w:color="auto" w:fill="FFFFFF"/>
              <w:spacing w:before="280" w:after="60"/>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 xml:space="preserve">Eynivaxtlı (ing. cross-sectional) </w:t>
            </w:r>
          </w:p>
        </w:tc>
        <w:tc>
          <w:tcPr>
            <w:tcW w:w="255" w:type="dxa"/>
          </w:tcPr>
          <w:p w:rsidR="003A44D6" w:rsidRDefault="003A44D6">
            <w:pPr>
              <w:shd w:val="clear" w:color="auto" w:fill="FFFFFF"/>
              <w:spacing w:before="280" w:after="60"/>
              <w:rPr>
                <w:rFonts w:ascii="Times New Roman" w:eastAsia="Times New Roman" w:hAnsi="Times New Roman" w:cs="Times New Roman"/>
                <w:b/>
                <w:color w:val="000000"/>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Klinik tədqiqatın modeli</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müşahidə (observasional) – kohort, xəstə-kontrol (case control)</w:t>
            </w:r>
          </w:p>
          <w:p w:rsidR="003A44D6" w:rsidRPr="00AA4330" w:rsidRDefault="003A44D6">
            <w:pPr>
              <w:jc w:val="both"/>
              <w:rPr>
                <w:rFonts w:ascii="Times New Roman" w:eastAsia="Times New Roman" w:hAnsi="Times New Roman" w:cs="Times New Roman"/>
                <w:color w:val="0070C0"/>
                <w:sz w:val="25"/>
                <w:szCs w:val="25"/>
              </w:rPr>
            </w:pPr>
          </w:p>
        </w:tc>
        <w:tc>
          <w:tcPr>
            <w:tcW w:w="255" w:type="dxa"/>
          </w:tcPr>
          <w:p w:rsidR="003A44D6" w:rsidRDefault="003A44D6">
            <w:pPr>
              <w:jc w:val="both"/>
              <w:rPr>
                <w:rFonts w:ascii="Times New Roman" w:eastAsia="Times New Roman" w:hAnsi="Times New Roman" w:cs="Times New Roman"/>
                <w:b/>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 – xəstələr (material)</w:t>
            </w:r>
          </w:p>
        </w:tc>
        <w:tc>
          <w:tcPr>
            <w:tcW w:w="7815" w:type="dxa"/>
          </w:tcPr>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Əsas qrup</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461A46" w:rsidRPr="00AA4330">
              <w:rPr>
                <w:rFonts w:ascii="Times New Roman" w:eastAsia="Times New Roman" w:hAnsi="Times New Roman" w:cs="Times New Roman"/>
                <w:sz w:val="25"/>
                <w:szCs w:val="25"/>
              </w:rPr>
              <w:t xml:space="preserve">OVİD-19 </w:t>
            </w:r>
            <w:r w:rsidRPr="00AA4330">
              <w:rPr>
                <w:rFonts w:ascii="Times New Roman" w:eastAsia="Times New Roman" w:hAnsi="Times New Roman" w:cs="Times New Roman"/>
                <w:sz w:val="25"/>
                <w:szCs w:val="25"/>
              </w:rPr>
              <w:t xml:space="preserve">keçirmiş </w:t>
            </w:r>
            <w:r w:rsidR="00461A46" w:rsidRPr="00AA4330">
              <w:rPr>
                <w:rFonts w:ascii="Times New Roman" w:eastAsia="Times New Roman" w:hAnsi="Times New Roman" w:cs="Times New Roman"/>
                <w:sz w:val="25"/>
                <w:szCs w:val="25"/>
              </w:rPr>
              <w:t xml:space="preserve">və öncədən </w:t>
            </w:r>
            <w:r w:rsidRPr="00AA4330">
              <w:rPr>
                <w:rFonts w:ascii="Times New Roman" w:eastAsia="Times New Roman" w:hAnsi="Times New Roman" w:cs="Times New Roman"/>
                <w:sz w:val="25"/>
                <w:szCs w:val="25"/>
              </w:rPr>
              <w:t>ÜİX</w:t>
            </w:r>
            <w:r w:rsidR="00461A46" w:rsidRPr="00AA4330">
              <w:rPr>
                <w:rFonts w:ascii="Times New Roman" w:eastAsia="Times New Roman" w:hAnsi="Times New Roman" w:cs="Times New Roman"/>
                <w:sz w:val="25"/>
                <w:szCs w:val="25"/>
              </w:rPr>
              <w:t>-i</w:t>
            </w:r>
            <w:r w:rsidRPr="00AA4330">
              <w:rPr>
                <w:rFonts w:ascii="Times New Roman" w:eastAsia="Times New Roman" w:hAnsi="Times New Roman" w:cs="Times New Roman"/>
                <w:sz w:val="25"/>
                <w:szCs w:val="25"/>
              </w:rPr>
              <w:t xml:space="preserve"> </w:t>
            </w:r>
            <w:r w:rsidR="00461A46" w:rsidRPr="00AA4330">
              <w:rPr>
                <w:rFonts w:ascii="Times New Roman" w:eastAsia="Times New Roman" w:hAnsi="Times New Roman" w:cs="Times New Roman"/>
                <w:sz w:val="25"/>
                <w:szCs w:val="25"/>
              </w:rPr>
              <w:t xml:space="preserve">olan </w:t>
            </w:r>
            <w:r w:rsidRPr="00AA4330">
              <w:rPr>
                <w:rFonts w:ascii="Times New Roman" w:eastAsia="Times New Roman" w:hAnsi="Times New Roman" w:cs="Times New Roman"/>
                <w:sz w:val="25"/>
                <w:szCs w:val="25"/>
              </w:rPr>
              <w:t>201 xəstə</w:t>
            </w:r>
            <w:r w:rsidR="00461A46" w:rsidRPr="00AA4330">
              <w:rPr>
                <w:rFonts w:ascii="Times New Roman" w:eastAsia="Times New Roman" w:hAnsi="Times New Roman" w:cs="Times New Roman"/>
                <w:sz w:val="25"/>
                <w:szCs w:val="25"/>
              </w:rPr>
              <w:t xml:space="preserve">. Kontrol qrup: </w:t>
            </w:r>
            <w:r w:rsidRPr="00AA4330">
              <w:rPr>
                <w:rFonts w:ascii="Times New Roman" w:eastAsia="Times New Roman" w:hAnsi="Times New Roman" w:cs="Times New Roman"/>
                <w:sz w:val="25"/>
                <w:szCs w:val="25"/>
              </w:rPr>
              <w:t>C</w:t>
            </w:r>
            <w:r w:rsidR="00461A46"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 keçirməmiş ÜİX</w:t>
            </w:r>
            <w:r w:rsidR="00461A46" w:rsidRPr="00AA4330">
              <w:rPr>
                <w:rFonts w:ascii="Times New Roman" w:eastAsia="Times New Roman" w:hAnsi="Times New Roman" w:cs="Times New Roman"/>
                <w:sz w:val="25"/>
                <w:szCs w:val="25"/>
              </w:rPr>
              <w:t>-i</w:t>
            </w:r>
            <w:r w:rsidRPr="00AA4330">
              <w:rPr>
                <w:rFonts w:ascii="Times New Roman" w:eastAsia="Times New Roman" w:hAnsi="Times New Roman" w:cs="Times New Roman"/>
                <w:sz w:val="25"/>
                <w:szCs w:val="25"/>
              </w:rPr>
              <w:t xml:space="preserve"> olan 201 xəstə.</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Cins</w:t>
            </w:r>
            <w:r w:rsidR="00461A46" w:rsidRPr="00AA4330">
              <w:rPr>
                <w:rFonts w:ascii="Times New Roman" w:eastAsia="Times New Roman" w:hAnsi="Times New Roman" w:cs="Times New Roman"/>
                <w:sz w:val="25"/>
                <w:szCs w:val="25"/>
              </w:rPr>
              <w:t>: 7</w:t>
            </w:r>
            <w:r w:rsidRPr="00AA4330">
              <w:rPr>
                <w:rFonts w:ascii="Times New Roman" w:eastAsia="Times New Roman" w:hAnsi="Times New Roman" w:cs="Times New Roman"/>
                <w:sz w:val="25"/>
                <w:szCs w:val="25"/>
              </w:rPr>
              <w:t>0% kişi,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30% qadın</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Yaş</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45-65</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Daxil etmə kriteriyaları</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Yuxarıdakı kimidir</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Çıxarma kriteriyaları</w:t>
            </w:r>
          </w:p>
        </w:tc>
        <w:tc>
          <w:tcPr>
            <w:tcW w:w="7815" w:type="dxa"/>
          </w:tcPr>
          <w:p w:rsidR="003A44D6" w:rsidRPr="00AA4330" w:rsidRDefault="00342707">
            <w:pPr>
              <w:jc w:val="both"/>
              <w:rPr>
                <w:rFonts w:ascii="Times New Roman" w:eastAsia="Times New Roman" w:hAnsi="Times New Roman" w:cs="Times New Roman"/>
                <w:color w:val="0070C0"/>
                <w:sz w:val="25"/>
                <w:szCs w:val="25"/>
              </w:rPr>
            </w:pPr>
            <w:r w:rsidRPr="00AA4330">
              <w:rPr>
                <w:rFonts w:ascii="Times New Roman" w:eastAsia="Times New Roman" w:hAnsi="Times New Roman" w:cs="Times New Roman"/>
                <w:color w:val="0070C0"/>
                <w:sz w:val="25"/>
                <w:szCs w:val="25"/>
              </w:rPr>
              <w:t>Nonişemik genezli xronik ürək xəstəliyi olanlar,</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anamnezində qanaxması olanlar,</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anemiya,</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onkologiya,</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uzun müddət antikoaqulyantların,</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qeyri-steroid iltihab əleyhinə maddələrin qəbul edilməsi.</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Randomizasiya üsulu</w:t>
            </w:r>
          </w:p>
        </w:tc>
        <w:tc>
          <w:tcPr>
            <w:tcW w:w="7815" w:type="dxa"/>
          </w:tcPr>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Müdaxilənin növü</w:t>
            </w:r>
          </w:p>
        </w:tc>
        <w:tc>
          <w:tcPr>
            <w:tcW w:w="7815" w:type="dxa"/>
          </w:tcPr>
          <w:p w:rsidR="003A44D6" w:rsidRPr="00AA4330" w:rsidRDefault="00342707" w:rsidP="00461A46">
            <w:pPr>
              <w:pBdr>
                <w:top w:val="nil"/>
                <w:left w:val="nil"/>
                <w:bottom w:val="nil"/>
                <w:right w:val="nil"/>
                <w:between w:val="nil"/>
              </w:pBdr>
              <w:spacing w:line="276" w:lineRule="auto"/>
              <w:jc w:val="both"/>
              <w:rPr>
                <w:rFonts w:ascii="Times New Roman" w:eastAsia="Times New Roman" w:hAnsi="Times New Roman" w:cs="Times New Roman"/>
                <w:sz w:val="25"/>
                <w:szCs w:val="25"/>
              </w:rPr>
            </w:pPr>
            <w:r w:rsidRPr="00AA4330">
              <w:rPr>
                <w:rFonts w:ascii="Times New Roman" w:eastAsia="Times New Roman" w:hAnsi="Times New Roman" w:cs="Times New Roman"/>
                <w:color w:val="0070C0"/>
                <w:sz w:val="25"/>
                <w:szCs w:val="25"/>
              </w:rPr>
              <w:t>Diaqnostik test</w:t>
            </w:r>
          </w:p>
        </w:tc>
        <w:tc>
          <w:tcPr>
            <w:tcW w:w="255" w:type="dxa"/>
          </w:tcPr>
          <w:p w:rsidR="003A44D6" w:rsidRDefault="003A44D6">
            <w:pPr>
              <w:jc w:val="both"/>
              <w:rPr>
                <w:rFonts w:ascii="Times New Roman" w:eastAsia="Times New Roman" w:hAnsi="Times New Roman" w:cs="Times New Roman"/>
                <w:color w:val="000000"/>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Müdaxilənin açıqlaması</w:t>
            </w:r>
          </w:p>
        </w:tc>
        <w:tc>
          <w:tcPr>
            <w:tcW w:w="7815" w:type="dxa"/>
          </w:tcPr>
          <w:p w:rsidR="003A44D6" w:rsidRPr="00AA4330" w:rsidRDefault="003A44D6">
            <w:pPr>
              <w:jc w:val="both"/>
              <w:rPr>
                <w:rFonts w:ascii="Times New Roman" w:eastAsia="Times New Roman" w:hAnsi="Times New Roman" w:cs="Times New Roman"/>
                <w:sz w:val="25"/>
                <w:szCs w:val="25"/>
              </w:rPr>
            </w:pP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Statistik və riyazi işləmlər</w:t>
            </w:r>
          </w:p>
        </w:tc>
        <w:tc>
          <w:tcPr>
            <w:tcW w:w="7815" w:type="dxa"/>
          </w:tcPr>
          <w:p w:rsidR="003A44D6" w:rsidRPr="00AA4330" w:rsidRDefault="003A44D6">
            <w:pPr>
              <w:jc w:val="both"/>
              <w:rPr>
                <w:rFonts w:ascii="Times New Roman" w:eastAsia="Times New Roman" w:hAnsi="Times New Roman" w:cs="Times New Roman"/>
                <w:sz w:val="25"/>
                <w:szCs w:val="25"/>
              </w:rPr>
            </w:pP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Aktuallığı</w:t>
            </w:r>
          </w:p>
        </w:tc>
        <w:tc>
          <w:tcPr>
            <w:tcW w:w="7815" w:type="dxa"/>
          </w:tcPr>
          <w:p w:rsidR="003A44D6" w:rsidRPr="00AA4330" w:rsidRDefault="00342707" w:rsidP="00FA26BD">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 xml:space="preserve">İnkişaf etmiş ölkələrdə </w:t>
            </w:r>
            <w:r w:rsidR="00461A46" w:rsidRPr="00AA4330">
              <w:rPr>
                <w:rFonts w:ascii="Times New Roman" w:eastAsia="Times New Roman" w:hAnsi="Times New Roman" w:cs="Times New Roman"/>
                <w:sz w:val="25"/>
                <w:szCs w:val="25"/>
              </w:rPr>
              <w:t>ÜDX</w:t>
            </w:r>
            <w:r w:rsidRPr="00AA4330">
              <w:rPr>
                <w:rFonts w:ascii="Times New Roman" w:eastAsia="Times New Roman" w:hAnsi="Times New Roman" w:cs="Times New Roman"/>
                <w:sz w:val="25"/>
                <w:szCs w:val="25"/>
              </w:rPr>
              <w:t xml:space="preserve"> əsas ölüm səbəbidir.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Bu xəstəliklərin inkişafı lipid profilinin dəyişməsi ilə birlikdə hemostaz sistem pozulmalarıyla sıx əlaqədardır.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Sübut olunmuşdur ki,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zədələnmiş aterosklerotik p</w:t>
            </w:r>
            <w:r w:rsidR="00461A46" w:rsidRPr="00AA4330">
              <w:rPr>
                <w:rFonts w:ascii="Times New Roman" w:eastAsia="Times New Roman" w:hAnsi="Times New Roman" w:cs="Times New Roman"/>
                <w:sz w:val="25"/>
                <w:szCs w:val="25"/>
              </w:rPr>
              <w:t>iləyin</w:t>
            </w:r>
            <w:r w:rsidRPr="00AA4330">
              <w:rPr>
                <w:rFonts w:ascii="Times New Roman" w:eastAsia="Times New Roman" w:hAnsi="Times New Roman" w:cs="Times New Roman"/>
                <w:sz w:val="25"/>
                <w:szCs w:val="25"/>
              </w:rPr>
              <w:t xml:space="preserve"> səthində əmələ gəlmiş tromboz ateroskleroz və onun ağırlaşmalarının proqressivləşməsində əsas patogenetik faktordur.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Eksperimental və klinik tədqiqatlarla təsdiq olunmuş aterogenez və trombəmələgəlmənin qarşılıqlı əlaqəsi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aterotromboz və markerlər axtarışı bu prosesin əsas patogenetik göstəriciləri ilə xarakterizə olan konsepsiyaların yaranmasına xidmət etdi.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Sübut olundu ki,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klinik stabil xəstələrdə koaqulyasiya kaskadının akivasiyası,</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fibrinoliz və </w:t>
            </w:r>
            <w:r w:rsidR="00461A46" w:rsidRPr="00AA4330">
              <w:rPr>
                <w:rFonts w:ascii="Times New Roman" w:eastAsia="Times New Roman" w:hAnsi="Times New Roman" w:cs="Times New Roman"/>
                <w:sz w:val="25"/>
                <w:szCs w:val="25"/>
              </w:rPr>
              <w:t>MMP</w:t>
            </w:r>
            <w:r w:rsidRPr="00AA4330">
              <w:rPr>
                <w:rFonts w:ascii="Times New Roman" w:eastAsia="Times New Roman" w:hAnsi="Times New Roman" w:cs="Times New Roman"/>
                <w:sz w:val="25"/>
                <w:szCs w:val="25"/>
              </w:rPr>
              <w:t xml:space="preserve"> biomarkerlərinin miqdarının qanda artması </w:t>
            </w:r>
            <w:r w:rsidR="00461A46" w:rsidRPr="00AA4330">
              <w:rPr>
                <w:rFonts w:ascii="Times New Roman" w:eastAsia="Times New Roman" w:hAnsi="Times New Roman" w:cs="Times New Roman"/>
                <w:sz w:val="25"/>
                <w:szCs w:val="25"/>
              </w:rPr>
              <w:lastRenderedPageBreak/>
              <w:t>ÜDX</w:t>
            </w:r>
            <w:r w:rsidRPr="00AA4330">
              <w:rPr>
                <w:rFonts w:ascii="Times New Roman" w:eastAsia="Times New Roman" w:hAnsi="Times New Roman" w:cs="Times New Roman"/>
                <w:sz w:val="25"/>
                <w:szCs w:val="25"/>
              </w:rPr>
              <w:t>-nin inkişaf göstəricisi ola bilər.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Ü</w:t>
            </w:r>
            <w:r w:rsidR="00461A46" w:rsidRPr="00AA4330">
              <w:rPr>
                <w:rFonts w:ascii="Times New Roman" w:eastAsia="Times New Roman" w:hAnsi="Times New Roman" w:cs="Times New Roman"/>
                <w:sz w:val="25"/>
                <w:szCs w:val="25"/>
              </w:rPr>
              <w:t>İX-</w:t>
            </w:r>
            <w:r w:rsidRPr="00AA4330">
              <w:rPr>
                <w:rFonts w:ascii="Times New Roman" w:eastAsia="Times New Roman" w:hAnsi="Times New Roman" w:cs="Times New Roman"/>
                <w:sz w:val="25"/>
                <w:szCs w:val="25"/>
              </w:rPr>
              <w:t>nin müalicəsinin əsas strategiyalarından biri perkutan invaziv müdaxilədir.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Son illərdə perkutan koronar müdaxilələrin sayı stabil </w:t>
            </w:r>
            <w:r w:rsidR="00461A46" w:rsidRPr="00AA4330">
              <w:rPr>
                <w:rFonts w:ascii="Times New Roman" w:eastAsia="Times New Roman" w:hAnsi="Times New Roman" w:cs="Times New Roman"/>
                <w:sz w:val="25"/>
                <w:szCs w:val="25"/>
              </w:rPr>
              <w:t>ÜİX-</w:t>
            </w:r>
            <w:r w:rsidRPr="00AA4330">
              <w:rPr>
                <w:rFonts w:ascii="Times New Roman" w:eastAsia="Times New Roman" w:hAnsi="Times New Roman" w:cs="Times New Roman"/>
                <w:sz w:val="25"/>
                <w:szCs w:val="25"/>
              </w:rPr>
              <w:t>ndə artmaqdadır.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Lakin,</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COURAGE tədqiqatının nəticələrinə görə belə bir fikir yaranmışdır ki,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perkutan koronar müdaxilənin təsirinin bəzən müsbət olmamasının çox ehtimal olunan səbəbi ürəyin xronik işemiyası xəstəliyi ilə bağlıdır ki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bir qayda olaraq,</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hemodinamik “qoca”aterosklerotik p</w:t>
            </w:r>
            <w:r w:rsidR="00461A46" w:rsidRPr="00AA4330">
              <w:rPr>
                <w:rFonts w:ascii="Times New Roman" w:eastAsia="Times New Roman" w:hAnsi="Times New Roman" w:cs="Times New Roman"/>
                <w:sz w:val="25"/>
                <w:szCs w:val="25"/>
              </w:rPr>
              <w:t>iləylərə</w:t>
            </w:r>
            <w:r w:rsidRPr="00AA4330">
              <w:rPr>
                <w:rFonts w:ascii="Times New Roman" w:eastAsia="Times New Roman" w:hAnsi="Times New Roman" w:cs="Times New Roman"/>
                <w:sz w:val="25"/>
                <w:szCs w:val="25"/>
              </w:rPr>
              <w:t xml:space="preserve"> t</w:t>
            </w:r>
            <w:r w:rsidR="00461A46" w:rsidRPr="00AA4330">
              <w:rPr>
                <w:rFonts w:ascii="Times New Roman" w:eastAsia="Times New Roman" w:hAnsi="Times New Roman" w:cs="Times New Roman"/>
                <w:sz w:val="25"/>
                <w:szCs w:val="25"/>
              </w:rPr>
              <w:t>ə</w:t>
            </w:r>
            <w:r w:rsidRPr="00AA4330">
              <w:rPr>
                <w:rFonts w:ascii="Times New Roman" w:eastAsia="Times New Roman" w:hAnsi="Times New Roman" w:cs="Times New Roman"/>
                <w:sz w:val="25"/>
                <w:szCs w:val="25"/>
              </w:rPr>
              <w:t>sir olur ki,</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hansılar ki çox az hallarda </w:t>
            </w:r>
            <w:r w:rsidR="00461A46" w:rsidRPr="00AA4330">
              <w:rPr>
                <w:rFonts w:ascii="Times New Roman" w:eastAsia="Times New Roman" w:hAnsi="Times New Roman" w:cs="Times New Roman"/>
                <w:sz w:val="25"/>
                <w:szCs w:val="25"/>
              </w:rPr>
              <w:t xml:space="preserve">ACS-in </w:t>
            </w:r>
            <w:r w:rsidRPr="00AA4330">
              <w:rPr>
                <w:rFonts w:ascii="Times New Roman" w:eastAsia="Times New Roman" w:hAnsi="Times New Roman" w:cs="Times New Roman"/>
                <w:sz w:val="25"/>
                <w:szCs w:val="25"/>
              </w:rPr>
              <w:t>inkişafına gətirib çıxarır.</w:t>
            </w:r>
            <w:r w:rsidR="00461A46"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color w:val="0070C0"/>
                <w:sz w:val="25"/>
                <w:szCs w:val="25"/>
              </w:rPr>
              <w:t>Məlumdur ki,</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invaziv müdaxilə trombositlərin,</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 xml:space="preserve">koaqulyasiya kaskadının və </w:t>
            </w:r>
            <w:r w:rsidR="00461A46" w:rsidRPr="00AA4330">
              <w:rPr>
                <w:rFonts w:ascii="Times New Roman" w:eastAsia="Times New Roman" w:hAnsi="Times New Roman" w:cs="Times New Roman"/>
                <w:color w:val="0070C0"/>
                <w:sz w:val="25"/>
                <w:szCs w:val="25"/>
              </w:rPr>
              <w:t>MMP</w:t>
            </w:r>
            <w:r w:rsidRPr="00AA4330">
              <w:rPr>
                <w:rFonts w:ascii="Times New Roman" w:eastAsia="Times New Roman" w:hAnsi="Times New Roman" w:cs="Times New Roman"/>
                <w:color w:val="0070C0"/>
                <w:sz w:val="25"/>
                <w:szCs w:val="25"/>
              </w:rPr>
              <w:t xml:space="preserve"> biomarkerlərinin aktivləşməsi ilə müşayət olunur.</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Pandemiya səbəbindən ÜİX-nin sayi durmadan artır</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Məlumdur ki,</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C</w:t>
            </w:r>
            <w:r w:rsidR="00461A46" w:rsidRPr="00AA4330">
              <w:rPr>
                <w:rFonts w:ascii="Times New Roman" w:eastAsia="Times New Roman" w:hAnsi="Times New Roman" w:cs="Times New Roman"/>
                <w:color w:val="0070C0"/>
                <w:sz w:val="25"/>
                <w:szCs w:val="25"/>
              </w:rPr>
              <w:t>OVİD</w:t>
            </w:r>
            <w:r w:rsidRPr="00AA4330">
              <w:rPr>
                <w:rFonts w:ascii="Times New Roman" w:eastAsia="Times New Roman" w:hAnsi="Times New Roman" w:cs="Times New Roman"/>
                <w:color w:val="0070C0"/>
                <w:sz w:val="25"/>
                <w:szCs w:val="25"/>
              </w:rPr>
              <w:t>-19 trombəmələgəlmə sistemini aktivləşdirir.</w:t>
            </w:r>
            <w:r w:rsidR="00461A46" w:rsidRPr="00AA4330">
              <w:rPr>
                <w:rFonts w:ascii="Times New Roman" w:eastAsia="Times New Roman" w:hAnsi="Times New Roman" w:cs="Times New Roman"/>
                <w:color w:val="0070C0"/>
                <w:sz w:val="25"/>
                <w:szCs w:val="25"/>
              </w:rPr>
              <w:t xml:space="preserve"> </w:t>
            </w:r>
            <w:r w:rsidRPr="00AA4330">
              <w:rPr>
                <w:rFonts w:ascii="Times New Roman" w:eastAsia="Times New Roman" w:hAnsi="Times New Roman" w:cs="Times New Roman"/>
                <w:color w:val="0070C0"/>
                <w:sz w:val="25"/>
                <w:szCs w:val="25"/>
              </w:rPr>
              <w:t>Bununla əlaqədar olaraq,</w:t>
            </w:r>
            <w:r w:rsidR="00461A46" w:rsidRPr="00AA4330">
              <w:rPr>
                <w:rFonts w:ascii="Times New Roman" w:eastAsia="Times New Roman" w:hAnsi="Times New Roman" w:cs="Times New Roman"/>
                <w:color w:val="0070C0"/>
                <w:sz w:val="25"/>
                <w:szCs w:val="25"/>
              </w:rPr>
              <w:t xml:space="preserve"> ÜİX-n</w:t>
            </w:r>
            <w:r w:rsidRPr="00AA4330">
              <w:rPr>
                <w:rFonts w:ascii="Times New Roman" w:eastAsia="Times New Roman" w:hAnsi="Times New Roman" w:cs="Times New Roman"/>
                <w:color w:val="0070C0"/>
                <w:sz w:val="25"/>
                <w:szCs w:val="25"/>
              </w:rPr>
              <w:t xml:space="preserve">də </w:t>
            </w:r>
            <w:r w:rsidR="00461A46" w:rsidRPr="00AA4330">
              <w:rPr>
                <w:rFonts w:ascii="Times New Roman" w:eastAsia="Times New Roman" w:hAnsi="Times New Roman" w:cs="Times New Roman"/>
                <w:color w:val="0070C0"/>
                <w:sz w:val="25"/>
                <w:szCs w:val="25"/>
              </w:rPr>
              <w:t>COVİD-19</w:t>
            </w:r>
            <w:r w:rsidRPr="00AA4330">
              <w:rPr>
                <w:rFonts w:ascii="Times New Roman" w:eastAsia="Times New Roman" w:hAnsi="Times New Roman" w:cs="Times New Roman"/>
                <w:color w:val="0070C0"/>
                <w:sz w:val="25"/>
                <w:szCs w:val="25"/>
              </w:rPr>
              <w:t xml:space="preserve"> keçirdikdən sonra hemostaz sisteminin koaqulyasion markerlərinin aktivasiyasının öyrənilməsi xüsusi maraq doğurur.</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Vəzifələr</w:t>
            </w:r>
          </w:p>
        </w:tc>
        <w:tc>
          <w:tcPr>
            <w:tcW w:w="7815" w:type="dxa"/>
          </w:tcPr>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1.</w:t>
            </w:r>
            <w:r w:rsidR="00045E7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FA26BD"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keçirmiş və bu xəstəliyi keçirməmiş ÜİX-i olan pasiyentlərdə miokardın revaskulyarizasiyasına tələbat</w:t>
            </w:r>
            <w:r w:rsidR="00FA26BD" w:rsidRPr="00AA4330">
              <w:rPr>
                <w:rFonts w:ascii="Times New Roman" w:eastAsia="Times New Roman" w:hAnsi="Times New Roman" w:cs="Times New Roman"/>
                <w:sz w:val="25"/>
                <w:szCs w:val="25"/>
              </w:rPr>
              <w:t>ını</w:t>
            </w:r>
            <w:r w:rsidRPr="00AA4330">
              <w:rPr>
                <w:rFonts w:ascii="Times New Roman" w:eastAsia="Times New Roman" w:hAnsi="Times New Roman" w:cs="Times New Roman"/>
                <w:sz w:val="25"/>
                <w:szCs w:val="25"/>
              </w:rPr>
              <w:t>,</w:t>
            </w:r>
            <w:r w:rsidR="00FA26BD" w:rsidRPr="00AA4330">
              <w:rPr>
                <w:rFonts w:ascii="Times New Roman" w:eastAsia="Times New Roman" w:hAnsi="Times New Roman" w:cs="Times New Roman"/>
                <w:sz w:val="25"/>
                <w:szCs w:val="25"/>
              </w:rPr>
              <w:t xml:space="preserve"> koronar arteriyaların </w:t>
            </w:r>
            <w:r w:rsidRPr="00AA4330">
              <w:rPr>
                <w:rFonts w:ascii="Times New Roman" w:eastAsia="Times New Roman" w:hAnsi="Times New Roman" w:cs="Times New Roman"/>
                <w:sz w:val="25"/>
                <w:szCs w:val="25"/>
              </w:rPr>
              <w:t>aterosklerotik zədələnmələrin yayılmasını və koronar axımın vəziyyətinin,</w:t>
            </w:r>
            <w:r w:rsidR="00FA26BD" w:rsidRPr="00AA4330">
              <w:rPr>
                <w:rFonts w:ascii="Times New Roman" w:eastAsia="Times New Roman" w:hAnsi="Times New Roman" w:cs="Times New Roman"/>
                <w:sz w:val="25"/>
                <w:szCs w:val="25"/>
              </w:rPr>
              <w:t xml:space="preserve"> ÜDX</w:t>
            </w:r>
            <w:r w:rsidRPr="00AA4330">
              <w:rPr>
                <w:rFonts w:ascii="Times New Roman" w:eastAsia="Times New Roman" w:hAnsi="Times New Roman" w:cs="Times New Roman"/>
                <w:sz w:val="25"/>
                <w:szCs w:val="25"/>
              </w:rPr>
              <w:t xml:space="preserve"> riskinin əsas faktorlarının öyrənilməsi.</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2.</w:t>
            </w:r>
            <w:r w:rsidR="00045E7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FA26BD"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keçirmiş ÜİX-i olan pasiyentlərdə iltihab</w:t>
            </w:r>
            <w:r w:rsidR="00FA26BD" w:rsidRPr="00AA4330">
              <w:rPr>
                <w:rFonts w:ascii="Times New Roman" w:eastAsia="Times New Roman" w:hAnsi="Times New Roman" w:cs="Times New Roman"/>
                <w:sz w:val="25"/>
                <w:szCs w:val="25"/>
              </w:rPr>
              <w:t>ı</w:t>
            </w:r>
            <w:r w:rsidRPr="00AA4330">
              <w:rPr>
                <w:rFonts w:ascii="Times New Roman" w:eastAsia="Times New Roman" w:hAnsi="Times New Roman" w:cs="Times New Roman"/>
                <w:sz w:val="25"/>
                <w:szCs w:val="25"/>
              </w:rPr>
              <w:t>n və hemostaz sistemin</w:t>
            </w:r>
            <w:r w:rsidR="00FA26BD" w:rsidRPr="00AA4330">
              <w:rPr>
                <w:rFonts w:ascii="Times New Roman" w:eastAsia="Times New Roman" w:hAnsi="Times New Roman" w:cs="Times New Roman"/>
                <w:sz w:val="25"/>
                <w:szCs w:val="25"/>
              </w:rPr>
              <w:t xml:space="preserve"> aktivləşməsinin</w:t>
            </w:r>
            <w:r w:rsidRPr="00AA4330">
              <w:rPr>
                <w:rFonts w:ascii="Times New Roman" w:eastAsia="Times New Roman" w:hAnsi="Times New Roman" w:cs="Times New Roman"/>
                <w:sz w:val="25"/>
                <w:szCs w:val="25"/>
              </w:rPr>
              <w:t xml:space="preserve"> biomarkerlərinin koronar arteriyaların stentləşdirilməsindən sonra 1 il ərzində öyrənilməsi.</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3.</w:t>
            </w:r>
            <w:r w:rsidR="00045E7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FA26BD"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keçirmiş UİX-i olan xəstələrdə ürəyin nasos funksiyasının koronar arteriyaların stentləşdirilməsindən sonra 1 il ərzində öyrənilməsi.</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4.</w:t>
            </w:r>
            <w:r w:rsidR="00045E7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FA26BD"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keçirmiş ÜİX-i olan pasiyentlərdə koronar damarların stentləşdirilməsindən sonra 1 il ərzində ikili antiplatelet terapiyanın və statin</w:t>
            </w:r>
            <w:r w:rsidR="00FA26BD" w:rsidRPr="00AA4330">
              <w:rPr>
                <w:rFonts w:ascii="Times New Roman" w:eastAsia="Times New Roman" w:hAnsi="Times New Roman" w:cs="Times New Roman"/>
                <w:sz w:val="25"/>
                <w:szCs w:val="25"/>
              </w:rPr>
              <w:t>lərlə farmako</w:t>
            </w:r>
            <w:r w:rsidRPr="00AA4330">
              <w:rPr>
                <w:rFonts w:ascii="Times New Roman" w:eastAsia="Times New Roman" w:hAnsi="Times New Roman" w:cs="Times New Roman"/>
                <w:sz w:val="25"/>
                <w:szCs w:val="25"/>
              </w:rPr>
              <w:t>terapiyanın qiymətləndirilməsi,</w:t>
            </w:r>
            <w:r w:rsidR="00FA26B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habelə onların koronar axında aterosklerotik zədələnmələrin yayılmasına və qanın koaqulyasiya potensialına təsirinin öyrənilməsi.</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5.</w:t>
            </w:r>
            <w:r w:rsidR="00045E7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C</w:t>
            </w:r>
            <w:r w:rsidR="00FA26BD" w:rsidRPr="00AA4330">
              <w:rPr>
                <w:rFonts w:ascii="Times New Roman" w:eastAsia="Times New Roman" w:hAnsi="Times New Roman" w:cs="Times New Roman"/>
                <w:sz w:val="25"/>
                <w:szCs w:val="25"/>
              </w:rPr>
              <w:t xml:space="preserve">OVİD-19 </w:t>
            </w:r>
            <w:r w:rsidRPr="00AA4330">
              <w:rPr>
                <w:rFonts w:ascii="Times New Roman" w:eastAsia="Times New Roman" w:hAnsi="Times New Roman" w:cs="Times New Roman"/>
                <w:sz w:val="25"/>
                <w:szCs w:val="25"/>
              </w:rPr>
              <w:t xml:space="preserve">keçirmiş ÜİX-i olan pasiyentlərdə </w:t>
            </w:r>
            <w:r w:rsidR="00FA26BD" w:rsidRPr="00AA4330">
              <w:rPr>
                <w:rFonts w:ascii="Times New Roman" w:eastAsia="Times New Roman" w:hAnsi="Times New Roman" w:cs="Times New Roman"/>
                <w:sz w:val="25"/>
                <w:szCs w:val="25"/>
              </w:rPr>
              <w:t xml:space="preserve">əsas kardial neqativ </w:t>
            </w:r>
            <w:r w:rsidRPr="00AA4330">
              <w:rPr>
                <w:rFonts w:ascii="Times New Roman" w:eastAsia="Times New Roman" w:hAnsi="Times New Roman" w:cs="Times New Roman"/>
                <w:sz w:val="25"/>
                <w:szCs w:val="25"/>
              </w:rPr>
              <w:t>hadisələrin</w:t>
            </w:r>
            <w:r w:rsidR="00FA26BD" w:rsidRPr="00AA4330">
              <w:rPr>
                <w:rFonts w:ascii="Times New Roman" w:eastAsia="Times New Roman" w:hAnsi="Times New Roman" w:cs="Times New Roman"/>
                <w:sz w:val="25"/>
                <w:szCs w:val="25"/>
              </w:rPr>
              <w:t xml:space="preserve"> (MACE-lərin) </w:t>
            </w:r>
            <w:r w:rsidR="00D9280C" w:rsidRPr="00AA4330">
              <w:rPr>
                <w:rFonts w:ascii="Times New Roman" w:eastAsia="Times New Roman" w:hAnsi="Times New Roman" w:cs="Times New Roman"/>
                <w:sz w:val="25"/>
                <w:szCs w:val="25"/>
              </w:rPr>
              <w:t xml:space="preserve">meydənə gəlməsini </w:t>
            </w:r>
            <w:r w:rsidRPr="00AA4330">
              <w:rPr>
                <w:rFonts w:ascii="Times New Roman" w:eastAsia="Times New Roman" w:hAnsi="Times New Roman" w:cs="Times New Roman"/>
                <w:sz w:val="25"/>
                <w:szCs w:val="25"/>
              </w:rPr>
              <w:t>öyrənilməsi,</w:t>
            </w:r>
            <w:r w:rsidR="00FA26BD"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habelə koronar damarların stentləşdirilməsindən sonra 1 il ərzində mümkün prediktor </w:t>
            </w:r>
            <w:r w:rsidRPr="00AA4330">
              <w:rPr>
                <w:rFonts w:ascii="Times New Roman" w:eastAsia="Times New Roman" w:hAnsi="Times New Roman" w:cs="Times New Roman"/>
                <w:color w:val="0070C0"/>
                <w:sz w:val="25"/>
                <w:szCs w:val="25"/>
              </w:rPr>
              <w:t>simptomların geri dönməsinin və mümkün xronik manifestasiyaların i</w:t>
            </w:r>
            <w:r w:rsidRPr="00AA4330">
              <w:rPr>
                <w:rFonts w:ascii="Times New Roman" w:eastAsia="Times New Roman" w:hAnsi="Times New Roman" w:cs="Times New Roman"/>
                <w:sz w:val="25"/>
                <w:szCs w:val="25"/>
              </w:rPr>
              <w:t>nkişaf etməsinin müəyyənləşdirilməsi.</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Orijinallıq (yeniliyi)</w:t>
            </w:r>
          </w:p>
        </w:tc>
        <w:tc>
          <w:tcPr>
            <w:tcW w:w="7815" w:type="dxa"/>
          </w:tcPr>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Koronar axımın C</w:t>
            </w:r>
            <w:r w:rsidR="00D9280C"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-19-la assosiasiya olunmuş zədələnməsinin göstərilməsi.</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ÜİX-i olan C</w:t>
            </w:r>
            <w:r w:rsidR="00D9280C"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w:t>
            </w:r>
            <w:r w:rsidR="00D9280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 xml:space="preserve">keçirmiş pasiyentlərdə miokardın </w:t>
            </w:r>
            <w:r w:rsidR="00D9280C" w:rsidRPr="00AA4330">
              <w:rPr>
                <w:rFonts w:ascii="Times New Roman" w:eastAsia="Times New Roman" w:hAnsi="Times New Roman" w:cs="Times New Roman"/>
                <w:sz w:val="25"/>
                <w:szCs w:val="25"/>
              </w:rPr>
              <w:t>qlobal kotraktil funksiyasının a</w:t>
            </w:r>
            <w:r w:rsidRPr="00AA4330">
              <w:rPr>
                <w:rFonts w:ascii="Times New Roman" w:eastAsia="Times New Roman" w:hAnsi="Times New Roman" w:cs="Times New Roman"/>
                <w:sz w:val="25"/>
                <w:szCs w:val="25"/>
              </w:rPr>
              <w:t>simptom</w:t>
            </w:r>
            <w:r w:rsidR="00D9280C" w:rsidRPr="00AA4330">
              <w:rPr>
                <w:rFonts w:ascii="Times New Roman" w:eastAsia="Times New Roman" w:hAnsi="Times New Roman" w:cs="Times New Roman"/>
                <w:sz w:val="25"/>
                <w:szCs w:val="25"/>
              </w:rPr>
              <w:t xml:space="preserve">atik </w:t>
            </w:r>
            <w:r w:rsidRPr="00AA4330">
              <w:rPr>
                <w:rFonts w:ascii="Times New Roman" w:eastAsia="Times New Roman" w:hAnsi="Times New Roman" w:cs="Times New Roman"/>
                <w:sz w:val="25"/>
                <w:szCs w:val="25"/>
              </w:rPr>
              <w:t>pozulmasının,</w:t>
            </w:r>
            <w:r w:rsidR="00D9280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sol mədəciyin sistolik funksiyasının saxlanıldığı hallarda invaziv müdaxilənin effektivliyinin qiymətləndirilməsi üçün əsas strateji yol olacaqdır.</w:t>
            </w:r>
          </w:p>
          <w:p w:rsidR="003A44D6" w:rsidRPr="00AA4330" w:rsidRDefault="00342707">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C</w:t>
            </w:r>
            <w:r w:rsidR="00D9280C" w:rsidRPr="00AA4330">
              <w:rPr>
                <w:rFonts w:ascii="Times New Roman" w:eastAsia="Times New Roman" w:hAnsi="Times New Roman" w:cs="Times New Roman"/>
                <w:sz w:val="25"/>
                <w:szCs w:val="25"/>
              </w:rPr>
              <w:t>OVİD</w:t>
            </w:r>
            <w:r w:rsidRPr="00AA4330">
              <w:rPr>
                <w:rFonts w:ascii="Times New Roman" w:eastAsia="Times New Roman" w:hAnsi="Times New Roman" w:cs="Times New Roman"/>
                <w:sz w:val="25"/>
                <w:szCs w:val="25"/>
              </w:rPr>
              <w:t>-19 keçirmiş ÜİX-i olan pasiyentlərdə sistem iltihab biomarkerlərinin,</w:t>
            </w:r>
            <w:r w:rsidR="00D9280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endotelial disfunksiyanın,</w:t>
            </w:r>
            <w:r w:rsidR="00D9280C"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damar trombozlarının və koronar stentləşdirilmənin nəticələri ilə qarşılıqlı əlaqəsi öyrəniləcəkdir.</w:t>
            </w:r>
          </w:p>
          <w:p w:rsidR="003A44D6" w:rsidRPr="00AA4330" w:rsidRDefault="00D9280C">
            <w:pPr>
              <w:jc w:val="both"/>
              <w:rPr>
                <w:rFonts w:ascii="Times New Roman" w:eastAsia="Times New Roman" w:hAnsi="Times New Roman" w:cs="Times New Roman"/>
                <w:sz w:val="25"/>
                <w:szCs w:val="25"/>
              </w:rPr>
            </w:pPr>
            <w:r w:rsidRPr="00AA4330">
              <w:rPr>
                <w:rFonts w:ascii="Times New Roman" w:eastAsia="Times New Roman" w:hAnsi="Times New Roman" w:cs="Times New Roman"/>
                <w:sz w:val="25"/>
                <w:szCs w:val="25"/>
              </w:rPr>
              <w:t>COVİD-19 keçirmiş ÜİX-i olan pasiyentlərdə i</w:t>
            </w:r>
            <w:r w:rsidR="00342707" w:rsidRPr="00AA4330">
              <w:rPr>
                <w:rFonts w:ascii="Times New Roman" w:eastAsia="Times New Roman" w:hAnsi="Times New Roman" w:cs="Times New Roman"/>
                <w:sz w:val="25"/>
                <w:szCs w:val="25"/>
              </w:rPr>
              <w:t>kili antiplatelet terapiyanın,</w:t>
            </w:r>
            <w:r w:rsidRPr="00AA4330">
              <w:rPr>
                <w:rFonts w:ascii="Times New Roman" w:eastAsia="Times New Roman" w:hAnsi="Times New Roman" w:cs="Times New Roman"/>
                <w:sz w:val="25"/>
                <w:szCs w:val="25"/>
              </w:rPr>
              <w:t xml:space="preserve"> </w:t>
            </w:r>
            <w:r w:rsidR="00342707" w:rsidRPr="00AA4330">
              <w:rPr>
                <w:rFonts w:ascii="Times New Roman" w:eastAsia="Times New Roman" w:hAnsi="Times New Roman" w:cs="Times New Roman"/>
                <w:sz w:val="25"/>
                <w:szCs w:val="25"/>
              </w:rPr>
              <w:t>statinoterapiyanın və endotelial disfunksiyanın nəticə</w:t>
            </w:r>
            <w:r w:rsidRPr="00AA4330">
              <w:rPr>
                <w:rFonts w:ascii="Times New Roman" w:eastAsia="Times New Roman" w:hAnsi="Times New Roman" w:cs="Times New Roman"/>
                <w:sz w:val="25"/>
                <w:szCs w:val="25"/>
              </w:rPr>
              <w:t>lər</w:t>
            </w:r>
            <w:r w:rsidR="00342707" w:rsidRPr="00AA4330">
              <w:rPr>
                <w:rFonts w:ascii="Times New Roman" w:eastAsia="Times New Roman" w:hAnsi="Times New Roman" w:cs="Times New Roman"/>
                <w:sz w:val="25"/>
                <w:szCs w:val="25"/>
              </w:rPr>
              <w:t>i öyrəniləcəkdir.</w:t>
            </w:r>
          </w:p>
          <w:p w:rsidR="003A44D6" w:rsidRPr="00AA4330"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Gözlənilən nəticələr və onların elmi-praktik əhəmiyyəti</w:t>
            </w:r>
          </w:p>
        </w:tc>
        <w:tc>
          <w:tcPr>
            <w:tcW w:w="7815" w:type="dxa"/>
          </w:tcPr>
          <w:p w:rsidR="003A44D6" w:rsidRPr="00AA4330" w:rsidRDefault="00342707" w:rsidP="00235840">
            <w:pPr>
              <w:jc w:val="both"/>
              <w:rPr>
                <w:rFonts w:ascii="Times New Roman" w:eastAsia="Times New Roman" w:hAnsi="Times New Roman" w:cs="Times New Roman"/>
                <w:color w:val="000000"/>
                <w:sz w:val="25"/>
                <w:szCs w:val="25"/>
              </w:rPr>
            </w:pPr>
            <w:r w:rsidRPr="00AA4330">
              <w:rPr>
                <w:rFonts w:ascii="Times New Roman" w:eastAsia="Times New Roman" w:hAnsi="Times New Roman" w:cs="Times New Roman"/>
                <w:sz w:val="25"/>
                <w:szCs w:val="25"/>
              </w:rPr>
              <w:t>Orta yaşlı ÜİX-i olan pasiyentlərdə C</w:t>
            </w:r>
            <w:r w:rsidR="00235840" w:rsidRPr="00AA4330">
              <w:rPr>
                <w:rFonts w:ascii="Times New Roman" w:eastAsia="Times New Roman" w:hAnsi="Times New Roman" w:cs="Times New Roman"/>
                <w:sz w:val="25"/>
                <w:szCs w:val="25"/>
              </w:rPr>
              <w:t>OVİD-19</w:t>
            </w:r>
            <w:r w:rsidRPr="00AA4330">
              <w:rPr>
                <w:rFonts w:ascii="Times New Roman" w:eastAsia="Times New Roman" w:hAnsi="Times New Roman" w:cs="Times New Roman"/>
                <w:sz w:val="25"/>
                <w:szCs w:val="25"/>
              </w:rPr>
              <w:t xml:space="preserve"> nəticələrinin öyrənilməsinə müstəqil töhfələr veriləcəkdir.</w:t>
            </w:r>
            <w:r w:rsidR="00235840"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Böyük spektrdə sistemli biomarkerlərin və miokardial iltihab biomarkerlərinin,</w:t>
            </w:r>
            <w:r w:rsidR="00235840"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endotelial disfunksiyanın,</w:t>
            </w:r>
            <w:r w:rsidR="00235840"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trombozun,</w:t>
            </w:r>
            <w:r w:rsidR="00235840"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miokardın disfunksiyası və struktur zədələnmələrinin öyrənilməsinə imkan veriləcək ki,</w:t>
            </w:r>
            <w:r w:rsidR="00235840" w:rsidRPr="00AA4330">
              <w:rPr>
                <w:rFonts w:ascii="Times New Roman" w:eastAsia="Times New Roman" w:hAnsi="Times New Roman" w:cs="Times New Roman"/>
                <w:sz w:val="25"/>
                <w:szCs w:val="25"/>
              </w:rPr>
              <w:t xml:space="preserve"> </w:t>
            </w:r>
            <w:r w:rsidRPr="00AA4330">
              <w:rPr>
                <w:rFonts w:ascii="Times New Roman" w:eastAsia="Times New Roman" w:hAnsi="Times New Roman" w:cs="Times New Roman"/>
                <w:sz w:val="25"/>
                <w:szCs w:val="25"/>
              </w:rPr>
              <w:t>yeni koronavirus infeksiyasının nəticəsində ÜİX-i olan xəstələrin müalicə və nəticələrinin öyrənilməsinə yardımçı olacaq.</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Maddi və texniki imkanlar</w:t>
            </w:r>
          </w:p>
        </w:tc>
        <w:tc>
          <w:tcPr>
            <w:tcW w:w="7815" w:type="dxa"/>
          </w:tcPr>
          <w:p w:rsidR="003A44D6" w:rsidRDefault="003A44D6">
            <w:pPr>
              <w:jc w:val="both"/>
              <w:rPr>
                <w:rFonts w:ascii="Times New Roman" w:eastAsia="Times New Roman" w:hAnsi="Times New Roman" w:cs="Times New Roman"/>
                <w:sz w:val="24"/>
                <w:szCs w:val="24"/>
              </w:rPr>
            </w:pPr>
          </w:p>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Tədqiqatın yerinə yetririləcəsyi yer</w:t>
            </w:r>
          </w:p>
        </w:tc>
        <w:tc>
          <w:tcPr>
            <w:tcW w:w="7815" w:type="dxa"/>
          </w:tcPr>
          <w:p w:rsidR="00056C94" w:rsidRDefault="00342707">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Mərkəzi Klinik Xəstəxanası</w:t>
            </w:r>
            <w:r w:rsidR="00E76308">
              <w:rPr>
                <w:rFonts w:ascii="Times New Roman" w:eastAsia="Times New Roman" w:hAnsi="Times New Roman" w:cs="Times New Roman"/>
                <w:sz w:val="25"/>
                <w:szCs w:val="25"/>
              </w:rPr>
              <w:t xml:space="preserve"> (Bakı)</w:t>
            </w:r>
          </w:p>
          <w:p w:rsidR="003A44D6" w:rsidRPr="00CB6D5D" w:rsidRDefault="00E76308">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EGE Universitesi (İzmir)</w:t>
            </w:r>
          </w:p>
          <w:p w:rsidR="003A44D6" w:rsidRPr="00CB6D5D"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İşiə başlama vaxtı</w:t>
            </w:r>
          </w:p>
        </w:tc>
        <w:tc>
          <w:tcPr>
            <w:tcW w:w="7815" w:type="dxa"/>
          </w:tcPr>
          <w:p w:rsidR="003A44D6" w:rsidRPr="00CB6D5D" w:rsidRDefault="00342707" w:rsidP="0066721B">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202</w:t>
            </w:r>
            <w:r w:rsidR="0066721B">
              <w:rPr>
                <w:rFonts w:ascii="Times New Roman" w:eastAsia="Times New Roman" w:hAnsi="Times New Roman" w:cs="Times New Roman"/>
                <w:sz w:val="25"/>
                <w:szCs w:val="25"/>
              </w:rPr>
              <w:t>0</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bitirmə vaxtı</w:t>
            </w:r>
          </w:p>
        </w:tc>
        <w:tc>
          <w:tcPr>
            <w:tcW w:w="7815" w:type="dxa"/>
          </w:tcPr>
          <w:p w:rsidR="003A44D6" w:rsidRPr="00CB6D5D" w:rsidRDefault="00342707">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2023</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müddəti</w:t>
            </w:r>
          </w:p>
        </w:tc>
        <w:tc>
          <w:tcPr>
            <w:tcW w:w="7815" w:type="dxa"/>
          </w:tcPr>
          <w:p w:rsidR="003A44D6" w:rsidRPr="00CB6D5D" w:rsidRDefault="00342707">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3 il</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mərhələləri</w:t>
            </w:r>
          </w:p>
        </w:tc>
        <w:tc>
          <w:tcPr>
            <w:tcW w:w="7815" w:type="dxa"/>
          </w:tcPr>
          <w:p w:rsidR="00F63D09" w:rsidRDefault="00342707">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202</w:t>
            </w:r>
            <w:r w:rsidR="0066721B">
              <w:rPr>
                <w:rFonts w:ascii="Times New Roman" w:eastAsia="Times New Roman" w:hAnsi="Times New Roman" w:cs="Times New Roman"/>
                <w:sz w:val="25"/>
                <w:szCs w:val="25"/>
              </w:rPr>
              <w:t>0</w:t>
            </w:r>
            <w:r w:rsidR="00F63D09">
              <w:rPr>
                <w:rFonts w:ascii="Times New Roman" w:eastAsia="Times New Roman" w:hAnsi="Times New Roman" w:cs="Times New Roman"/>
                <w:sz w:val="25"/>
                <w:szCs w:val="25"/>
              </w:rPr>
              <w:t>:</w:t>
            </w:r>
          </w:p>
          <w:p w:rsidR="0066721B" w:rsidRDefault="0066721B" w:rsidP="00F63D09">
            <w:pPr>
              <w:pStyle w:val="a5"/>
              <w:numPr>
                <w:ilvl w:val="0"/>
                <w:numId w:val="2"/>
              </w:num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dissertasiya işinin elmi istiqamətinin seçilməsi;</w:t>
            </w:r>
          </w:p>
          <w:p w:rsidR="0066721B" w:rsidRDefault="0066721B" w:rsidP="00F63D09">
            <w:pPr>
              <w:pStyle w:val="a5"/>
              <w:numPr>
                <w:ilvl w:val="0"/>
                <w:numId w:val="2"/>
              </w:num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qoyulan məqsəd və vəzifələrin həyata keçirilməsi üçün kliniki-instrumental və laborator bazasının formalaşması, maddi mənbələrin müəyyən edilməsı və maliyyə resurslarının cəlb olunması.</w:t>
            </w:r>
          </w:p>
          <w:p w:rsidR="0066721B" w:rsidRPr="0066721B" w:rsidRDefault="0066721B" w:rsidP="0066721B">
            <w:pPr>
              <w:jc w:val="both"/>
              <w:rPr>
                <w:rFonts w:ascii="Times New Roman" w:eastAsia="Times New Roman" w:hAnsi="Times New Roman" w:cs="Times New Roman"/>
                <w:sz w:val="25"/>
                <w:szCs w:val="25"/>
              </w:rPr>
            </w:pPr>
            <w:r w:rsidRPr="0066721B">
              <w:rPr>
                <w:rFonts w:ascii="Times New Roman" w:eastAsia="Times New Roman" w:hAnsi="Times New Roman" w:cs="Times New Roman"/>
                <w:sz w:val="25"/>
                <w:szCs w:val="25"/>
              </w:rPr>
              <w:t>2021</w:t>
            </w:r>
            <w:r>
              <w:rPr>
                <w:rFonts w:ascii="Times New Roman" w:eastAsia="Times New Roman" w:hAnsi="Times New Roman" w:cs="Times New Roman"/>
                <w:sz w:val="25"/>
                <w:szCs w:val="25"/>
              </w:rPr>
              <w:t>-2022</w:t>
            </w:r>
            <w:r w:rsidRPr="0066721B">
              <w:rPr>
                <w:rFonts w:ascii="Times New Roman" w:eastAsia="Times New Roman" w:hAnsi="Times New Roman" w:cs="Times New Roman"/>
                <w:sz w:val="25"/>
                <w:szCs w:val="25"/>
              </w:rPr>
              <w:t>:</w:t>
            </w:r>
          </w:p>
          <w:p w:rsidR="00F63D09" w:rsidRDefault="00A86E16" w:rsidP="00F63D09">
            <w:pPr>
              <w:pStyle w:val="a5"/>
              <w:numPr>
                <w:ilvl w:val="0"/>
                <w:numId w:val="2"/>
              </w:num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E</w:t>
            </w:r>
            <w:r w:rsidR="00F97EDA" w:rsidRPr="00F63D09">
              <w:rPr>
                <w:rFonts w:ascii="Times New Roman" w:eastAsia="Times New Roman" w:hAnsi="Times New Roman" w:cs="Times New Roman"/>
                <w:sz w:val="25"/>
                <w:szCs w:val="25"/>
              </w:rPr>
              <w:t xml:space="preserve">lmi </w:t>
            </w:r>
            <w:r w:rsidR="00342707" w:rsidRPr="00F63D09">
              <w:rPr>
                <w:rFonts w:ascii="Times New Roman" w:eastAsia="Times New Roman" w:hAnsi="Times New Roman" w:cs="Times New Roman"/>
                <w:sz w:val="25"/>
                <w:szCs w:val="25"/>
              </w:rPr>
              <w:t xml:space="preserve">ədəbiyyatların </w:t>
            </w:r>
            <w:r>
              <w:rPr>
                <w:rFonts w:ascii="Times New Roman" w:eastAsia="Times New Roman" w:hAnsi="Times New Roman" w:cs="Times New Roman"/>
                <w:sz w:val="25"/>
                <w:szCs w:val="25"/>
              </w:rPr>
              <w:t xml:space="preserve">seçimi </w:t>
            </w:r>
            <w:r w:rsidR="00F63D09" w:rsidRPr="00F63D09">
              <w:rPr>
                <w:rFonts w:ascii="Times New Roman" w:eastAsia="Times New Roman" w:hAnsi="Times New Roman" w:cs="Times New Roman"/>
                <w:sz w:val="25"/>
                <w:szCs w:val="25"/>
              </w:rPr>
              <w:t xml:space="preserve">və </w:t>
            </w:r>
            <w:r w:rsidR="00F97EDA" w:rsidRPr="00F63D09">
              <w:rPr>
                <w:rFonts w:ascii="Times New Roman" w:eastAsia="Times New Roman" w:hAnsi="Times New Roman" w:cs="Times New Roman"/>
                <w:sz w:val="25"/>
                <w:szCs w:val="25"/>
              </w:rPr>
              <w:t>ədəbiyyat icmalının tərtibatı</w:t>
            </w:r>
            <w:r w:rsidR="00F63D09">
              <w:rPr>
                <w:rFonts w:ascii="Times New Roman" w:eastAsia="Times New Roman" w:hAnsi="Times New Roman" w:cs="Times New Roman"/>
                <w:sz w:val="25"/>
                <w:szCs w:val="25"/>
              </w:rPr>
              <w:t>;</w:t>
            </w:r>
          </w:p>
          <w:p w:rsidR="00B929DD" w:rsidRDefault="00B929DD" w:rsidP="00B929DD">
            <w:pPr>
              <w:pStyle w:val="a5"/>
              <w:numPr>
                <w:ilvl w:val="0"/>
                <w:numId w:val="2"/>
              </w:numPr>
              <w:jc w:val="both"/>
              <w:rPr>
                <w:rFonts w:ascii="Times New Roman" w:eastAsia="Times New Roman" w:hAnsi="Times New Roman" w:cs="Times New Roman"/>
                <w:sz w:val="25"/>
                <w:szCs w:val="25"/>
              </w:rPr>
            </w:pPr>
            <w:r w:rsidRPr="0066721B">
              <w:rPr>
                <w:rFonts w:ascii="Times New Roman" w:eastAsia="Times New Roman" w:hAnsi="Times New Roman" w:cs="Times New Roman"/>
                <w:sz w:val="25"/>
                <w:szCs w:val="25"/>
              </w:rPr>
              <w:t>MKX-nın Kardiologiya şöbəsində çalışması və elmi materialın toplanması;</w:t>
            </w:r>
          </w:p>
          <w:p w:rsidR="00F63D09" w:rsidRDefault="00B929DD" w:rsidP="00F63D09">
            <w:pPr>
              <w:pStyle w:val="a5"/>
              <w:numPr>
                <w:ilvl w:val="0"/>
                <w:numId w:val="2"/>
              </w:num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EGE Universitesinde </w:t>
            </w:r>
            <w:r w:rsidR="00F63D09" w:rsidRPr="00F63D09">
              <w:rPr>
                <w:rFonts w:ascii="Times New Roman" w:eastAsia="Times New Roman" w:hAnsi="Times New Roman" w:cs="Times New Roman"/>
                <w:sz w:val="25"/>
                <w:szCs w:val="25"/>
              </w:rPr>
              <w:t>S</w:t>
            </w:r>
            <w:r w:rsidR="00F97EDA" w:rsidRPr="00F63D09">
              <w:rPr>
                <w:rFonts w:ascii="Times New Roman" w:eastAsia="Times New Roman" w:hAnsi="Times New Roman" w:cs="Times New Roman"/>
                <w:sz w:val="25"/>
                <w:szCs w:val="25"/>
              </w:rPr>
              <w:t xml:space="preserve">train Eco </w:t>
            </w:r>
            <w:r w:rsidR="00342707" w:rsidRPr="00F63D09">
              <w:rPr>
                <w:rFonts w:ascii="Times New Roman" w:eastAsia="Times New Roman" w:hAnsi="Times New Roman" w:cs="Times New Roman"/>
                <w:sz w:val="25"/>
                <w:szCs w:val="25"/>
              </w:rPr>
              <w:t>metodika</w:t>
            </w:r>
            <w:r w:rsidR="00F97EDA" w:rsidRPr="00F63D09">
              <w:rPr>
                <w:rFonts w:ascii="Times New Roman" w:eastAsia="Times New Roman" w:hAnsi="Times New Roman" w:cs="Times New Roman"/>
                <w:sz w:val="25"/>
                <w:szCs w:val="25"/>
              </w:rPr>
              <w:t>sın</w:t>
            </w:r>
            <w:r w:rsidR="00342707" w:rsidRPr="00F63D09">
              <w:rPr>
                <w:rFonts w:ascii="Times New Roman" w:eastAsia="Times New Roman" w:hAnsi="Times New Roman" w:cs="Times New Roman"/>
                <w:sz w:val="25"/>
                <w:szCs w:val="25"/>
              </w:rPr>
              <w:t>ın öyrənilməsi</w:t>
            </w:r>
            <w:r w:rsidR="00F63D09">
              <w:rPr>
                <w:rFonts w:ascii="Times New Roman" w:eastAsia="Times New Roman" w:hAnsi="Times New Roman" w:cs="Times New Roman"/>
                <w:sz w:val="25"/>
                <w:szCs w:val="25"/>
              </w:rPr>
              <w:t>;</w:t>
            </w:r>
          </w:p>
          <w:p w:rsidR="00F63D09" w:rsidRPr="0066721B" w:rsidRDefault="00842CA7" w:rsidP="008A361D">
            <w:pPr>
              <w:pStyle w:val="a5"/>
              <w:numPr>
                <w:ilvl w:val="0"/>
                <w:numId w:val="2"/>
              </w:numPr>
              <w:jc w:val="both"/>
              <w:rPr>
                <w:rFonts w:ascii="Times New Roman" w:eastAsia="Times New Roman" w:hAnsi="Times New Roman" w:cs="Times New Roman"/>
                <w:sz w:val="25"/>
                <w:szCs w:val="25"/>
              </w:rPr>
            </w:pPr>
            <w:r w:rsidRPr="0066721B">
              <w:rPr>
                <w:rFonts w:ascii="Times New Roman" w:eastAsia="Times New Roman" w:hAnsi="Times New Roman" w:cs="Times New Roman"/>
                <w:sz w:val="25"/>
                <w:szCs w:val="25"/>
              </w:rPr>
              <w:t>e</w:t>
            </w:r>
            <w:r w:rsidR="00235840" w:rsidRPr="0066721B">
              <w:rPr>
                <w:rFonts w:ascii="Times New Roman" w:eastAsia="Times New Roman" w:hAnsi="Times New Roman" w:cs="Times New Roman"/>
                <w:sz w:val="25"/>
                <w:szCs w:val="25"/>
              </w:rPr>
              <w:t>lmi m</w:t>
            </w:r>
            <w:r w:rsidR="00342707" w:rsidRPr="0066721B">
              <w:rPr>
                <w:rFonts w:ascii="Times New Roman" w:eastAsia="Times New Roman" w:hAnsi="Times New Roman" w:cs="Times New Roman"/>
                <w:sz w:val="25"/>
                <w:szCs w:val="25"/>
              </w:rPr>
              <w:t xml:space="preserve">aterialın </w:t>
            </w:r>
            <w:r w:rsidR="00235840" w:rsidRPr="0066721B">
              <w:rPr>
                <w:rFonts w:ascii="Times New Roman" w:eastAsia="Times New Roman" w:hAnsi="Times New Roman" w:cs="Times New Roman"/>
                <w:sz w:val="25"/>
                <w:szCs w:val="25"/>
              </w:rPr>
              <w:t>toplanması</w:t>
            </w:r>
            <w:r w:rsidR="00440164" w:rsidRPr="0066721B">
              <w:rPr>
                <w:rFonts w:ascii="Times New Roman" w:eastAsia="Times New Roman" w:hAnsi="Times New Roman" w:cs="Times New Roman"/>
                <w:sz w:val="25"/>
                <w:szCs w:val="25"/>
              </w:rPr>
              <w:t xml:space="preserve">nın yekünu </w:t>
            </w:r>
            <w:r w:rsidR="00235840" w:rsidRPr="0066721B">
              <w:rPr>
                <w:rFonts w:ascii="Times New Roman" w:eastAsia="Times New Roman" w:hAnsi="Times New Roman" w:cs="Times New Roman"/>
                <w:sz w:val="25"/>
                <w:szCs w:val="25"/>
              </w:rPr>
              <w:t xml:space="preserve">və onun ilkin </w:t>
            </w:r>
            <w:r w:rsidR="00342707" w:rsidRPr="0066721B">
              <w:rPr>
                <w:rFonts w:ascii="Times New Roman" w:eastAsia="Times New Roman" w:hAnsi="Times New Roman" w:cs="Times New Roman"/>
                <w:sz w:val="25"/>
                <w:szCs w:val="25"/>
              </w:rPr>
              <w:t xml:space="preserve">statistik </w:t>
            </w:r>
            <w:r w:rsidR="00235840" w:rsidRPr="0066721B">
              <w:rPr>
                <w:rFonts w:ascii="Times New Roman" w:eastAsia="Times New Roman" w:hAnsi="Times New Roman" w:cs="Times New Roman"/>
                <w:sz w:val="25"/>
                <w:szCs w:val="25"/>
              </w:rPr>
              <w:t>təhlil</w:t>
            </w:r>
            <w:r w:rsidR="00F97EDA" w:rsidRPr="0066721B">
              <w:rPr>
                <w:rFonts w:ascii="Times New Roman" w:eastAsia="Times New Roman" w:hAnsi="Times New Roman" w:cs="Times New Roman"/>
                <w:sz w:val="25"/>
                <w:szCs w:val="25"/>
              </w:rPr>
              <w:t>i</w:t>
            </w:r>
            <w:r w:rsidR="00F63D09" w:rsidRPr="0066721B">
              <w:rPr>
                <w:rFonts w:ascii="Times New Roman" w:eastAsia="Times New Roman" w:hAnsi="Times New Roman" w:cs="Times New Roman"/>
                <w:sz w:val="25"/>
                <w:szCs w:val="25"/>
              </w:rPr>
              <w:t>;</w:t>
            </w:r>
          </w:p>
          <w:p w:rsidR="003A44D6" w:rsidRPr="00F63D09" w:rsidRDefault="00440164" w:rsidP="00F63D09">
            <w:pPr>
              <w:pStyle w:val="a5"/>
              <w:numPr>
                <w:ilvl w:val="0"/>
                <w:numId w:val="2"/>
              </w:num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elmi </w:t>
            </w:r>
            <w:r w:rsidR="00842CA7">
              <w:rPr>
                <w:rFonts w:ascii="Times New Roman" w:eastAsia="Times New Roman" w:hAnsi="Times New Roman" w:cs="Times New Roman"/>
                <w:sz w:val="25"/>
                <w:szCs w:val="25"/>
              </w:rPr>
              <w:t>m</w:t>
            </w:r>
            <w:r w:rsidR="00235840" w:rsidRPr="00F63D09">
              <w:rPr>
                <w:rFonts w:ascii="Times New Roman" w:eastAsia="Times New Roman" w:hAnsi="Times New Roman" w:cs="Times New Roman"/>
                <w:sz w:val="25"/>
                <w:szCs w:val="25"/>
              </w:rPr>
              <w:t>əqalə</w:t>
            </w:r>
            <w:r>
              <w:rPr>
                <w:rFonts w:ascii="Times New Roman" w:eastAsia="Times New Roman" w:hAnsi="Times New Roman" w:cs="Times New Roman"/>
                <w:sz w:val="25"/>
                <w:szCs w:val="25"/>
              </w:rPr>
              <w:t xml:space="preserve">lərin </w:t>
            </w:r>
            <w:r w:rsidR="00342707" w:rsidRPr="00F63D09">
              <w:rPr>
                <w:rFonts w:ascii="Times New Roman" w:eastAsia="Times New Roman" w:hAnsi="Times New Roman" w:cs="Times New Roman"/>
                <w:sz w:val="25"/>
                <w:szCs w:val="25"/>
              </w:rPr>
              <w:t>yazılması</w:t>
            </w:r>
            <w:r w:rsidR="00235840" w:rsidRPr="00F63D09">
              <w:rPr>
                <w:rFonts w:ascii="Times New Roman" w:eastAsia="Times New Roman" w:hAnsi="Times New Roman" w:cs="Times New Roman"/>
                <w:sz w:val="25"/>
                <w:szCs w:val="25"/>
              </w:rPr>
              <w:t xml:space="preserve"> və </w:t>
            </w:r>
            <w:r w:rsidR="00F97EDA" w:rsidRPr="00F63D09">
              <w:rPr>
                <w:rFonts w:ascii="Times New Roman" w:eastAsia="Times New Roman" w:hAnsi="Times New Roman" w:cs="Times New Roman"/>
                <w:sz w:val="25"/>
                <w:szCs w:val="25"/>
              </w:rPr>
              <w:t>ç</w:t>
            </w:r>
            <w:r w:rsidR="00235840" w:rsidRPr="00F63D09">
              <w:rPr>
                <w:rFonts w:ascii="Times New Roman" w:eastAsia="Times New Roman" w:hAnsi="Times New Roman" w:cs="Times New Roman"/>
                <w:sz w:val="25"/>
                <w:szCs w:val="25"/>
              </w:rPr>
              <w:t>ap</w:t>
            </w:r>
            <w:r w:rsidR="00F97EDA" w:rsidRPr="00F63D09">
              <w:rPr>
                <w:rFonts w:ascii="Times New Roman" w:eastAsia="Times New Roman" w:hAnsi="Times New Roman" w:cs="Times New Roman"/>
                <w:sz w:val="25"/>
                <w:szCs w:val="25"/>
              </w:rPr>
              <w:t>a verilməsi</w:t>
            </w:r>
            <w:r w:rsidR="00F63D09">
              <w:rPr>
                <w:rFonts w:ascii="Times New Roman" w:eastAsia="Times New Roman" w:hAnsi="Times New Roman" w:cs="Times New Roman"/>
                <w:sz w:val="25"/>
                <w:szCs w:val="25"/>
              </w:rPr>
              <w:t>.</w:t>
            </w:r>
          </w:p>
          <w:p w:rsidR="00F63D09" w:rsidRDefault="00342707" w:rsidP="00F97EDA">
            <w:pPr>
              <w:jc w:val="both"/>
              <w:rPr>
                <w:rFonts w:ascii="Times New Roman" w:eastAsia="Times New Roman" w:hAnsi="Times New Roman" w:cs="Times New Roman"/>
                <w:sz w:val="25"/>
                <w:szCs w:val="25"/>
              </w:rPr>
            </w:pPr>
            <w:r w:rsidRPr="00CB6D5D">
              <w:rPr>
                <w:rFonts w:ascii="Times New Roman" w:eastAsia="Times New Roman" w:hAnsi="Times New Roman" w:cs="Times New Roman"/>
                <w:sz w:val="25"/>
                <w:szCs w:val="25"/>
              </w:rPr>
              <w:t>2023</w:t>
            </w:r>
            <w:r w:rsidR="00F63D09">
              <w:rPr>
                <w:rFonts w:ascii="Times New Roman" w:eastAsia="Times New Roman" w:hAnsi="Times New Roman" w:cs="Times New Roman"/>
                <w:sz w:val="25"/>
                <w:szCs w:val="25"/>
              </w:rPr>
              <w:t>:</w:t>
            </w:r>
          </w:p>
          <w:p w:rsidR="00F63D09" w:rsidRDefault="00F63D09" w:rsidP="00F63D09">
            <w:pPr>
              <w:ind w:left="806" w:hanging="425"/>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235840" w:rsidRPr="00CB6D5D">
              <w:rPr>
                <w:rFonts w:ascii="Times New Roman" w:eastAsia="Times New Roman" w:hAnsi="Times New Roman" w:cs="Times New Roman"/>
                <w:sz w:val="25"/>
                <w:szCs w:val="25"/>
              </w:rPr>
              <w:t xml:space="preserve"> </w:t>
            </w:r>
            <w:r w:rsidR="00842CA7">
              <w:rPr>
                <w:rFonts w:ascii="Times New Roman" w:eastAsia="Times New Roman" w:hAnsi="Times New Roman" w:cs="Times New Roman"/>
                <w:sz w:val="25"/>
                <w:szCs w:val="25"/>
              </w:rPr>
              <w:t>y</w:t>
            </w:r>
            <w:r w:rsidR="00235840" w:rsidRPr="00CB6D5D">
              <w:rPr>
                <w:rFonts w:ascii="Times New Roman" w:eastAsia="Times New Roman" w:hAnsi="Times New Roman" w:cs="Times New Roman"/>
                <w:sz w:val="25"/>
                <w:szCs w:val="25"/>
              </w:rPr>
              <w:t>ekün statistik təhlil</w:t>
            </w:r>
            <w:r w:rsidR="000D76CD">
              <w:rPr>
                <w:rFonts w:ascii="Times New Roman" w:eastAsia="Times New Roman" w:hAnsi="Times New Roman" w:cs="Times New Roman"/>
                <w:sz w:val="25"/>
                <w:szCs w:val="25"/>
              </w:rPr>
              <w:t xml:space="preserve">in </w:t>
            </w:r>
            <w:r w:rsidR="00235840" w:rsidRPr="00CB6D5D">
              <w:rPr>
                <w:rFonts w:ascii="Times New Roman" w:eastAsia="Times New Roman" w:hAnsi="Times New Roman" w:cs="Times New Roman"/>
                <w:sz w:val="25"/>
                <w:szCs w:val="25"/>
              </w:rPr>
              <w:t>aparılması</w:t>
            </w:r>
            <w:r>
              <w:rPr>
                <w:rFonts w:ascii="Times New Roman" w:eastAsia="Times New Roman" w:hAnsi="Times New Roman" w:cs="Times New Roman"/>
                <w:sz w:val="25"/>
                <w:szCs w:val="25"/>
              </w:rPr>
              <w:t>;</w:t>
            </w:r>
          </w:p>
          <w:p w:rsidR="00F63D09" w:rsidRDefault="00F63D09" w:rsidP="00F63D09">
            <w:pPr>
              <w:ind w:left="806" w:hanging="425"/>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235840" w:rsidRPr="00CB6D5D">
              <w:rPr>
                <w:rFonts w:ascii="Times New Roman" w:eastAsia="Times New Roman" w:hAnsi="Times New Roman" w:cs="Times New Roman"/>
                <w:sz w:val="25"/>
                <w:szCs w:val="25"/>
              </w:rPr>
              <w:t xml:space="preserve"> </w:t>
            </w:r>
            <w:r w:rsidR="00842CA7">
              <w:rPr>
                <w:rFonts w:ascii="Times New Roman" w:eastAsia="Times New Roman" w:hAnsi="Times New Roman" w:cs="Times New Roman"/>
                <w:sz w:val="25"/>
                <w:szCs w:val="25"/>
              </w:rPr>
              <w:t>ə</w:t>
            </w:r>
            <w:r w:rsidR="00F97EDA" w:rsidRPr="00CB6D5D">
              <w:rPr>
                <w:rFonts w:ascii="Times New Roman" w:eastAsia="Times New Roman" w:hAnsi="Times New Roman" w:cs="Times New Roman"/>
                <w:sz w:val="25"/>
                <w:szCs w:val="25"/>
              </w:rPr>
              <w:t>ldə olunan elmi nəticələrin elmi forum və nəşrlərdə təqdimatı</w:t>
            </w:r>
            <w:r>
              <w:rPr>
                <w:rFonts w:ascii="Times New Roman" w:eastAsia="Times New Roman" w:hAnsi="Times New Roman" w:cs="Times New Roman"/>
                <w:sz w:val="25"/>
                <w:szCs w:val="25"/>
              </w:rPr>
              <w:t>;</w:t>
            </w:r>
          </w:p>
          <w:p w:rsidR="003A44D6" w:rsidRPr="00CB6D5D" w:rsidRDefault="00F63D09" w:rsidP="00842CA7">
            <w:pPr>
              <w:ind w:left="806" w:hanging="425"/>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842CA7">
              <w:rPr>
                <w:rFonts w:ascii="Times New Roman" w:eastAsia="Times New Roman" w:hAnsi="Times New Roman" w:cs="Times New Roman"/>
                <w:sz w:val="25"/>
                <w:szCs w:val="25"/>
              </w:rPr>
              <w:t>d</w:t>
            </w:r>
            <w:r w:rsidR="00235840" w:rsidRPr="00CB6D5D">
              <w:rPr>
                <w:rFonts w:ascii="Times New Roman" w:eastAsia="Times New Roman" w:hAnsi="Times New Roman" w:cs="Times New Roman"/>
                <w:sz w:val="25"/>
                <w:szCs w:val="25"/>
              </w:rPr>
              <w:t>issertasiya işinin tərtibatı və ATU-nun Elmi Şurasına təqdim edilməsi.</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Ədəbiyyat</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Tədqiqatın hazırkı vəziyyəti</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İşlə əlaqədar çap olunan məqalələr </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A44D6">
            <w:pPr>
              <w:rPr>
                <w:rFonts w:ascii="Times New Roman" w:eastAsia="Times New Roman" w:hAnsi="Times New Roman" w:cs="Times New Roman"/>
                <w:b/>
                <w:i/>
                <w:sz w:val="24"/>
                <w:szCs w:val="24"/>
              </w:rPr>
            </w:pP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A44D6">
            <w:pPr>
              <w:rPr>
                <w:rFonts w:ascii="Times New Roman" w:eastAsia="Times New Roman" w:hAnsi="Times New Roman" w:cs="Times New Roman"/>
                <w:b/>
                <w:i/>
                <w:sz w:val="24"/>
                <w:szCs w:val="24"/>
              </w:rPr>
            </w:pP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Abstrakt (Azərbaycanca)</w:t>
            </w:r>
          </w:p>
        </w:tc>
        <w:tc>
          <w:tcPr>
            <w:tcW w:w="7815" w:type="dxa"/>
          </w:tcPr>
          <w:p w:rsidR="003A44D6" w:rsidRDefault="003427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İşin adı:</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Problem:</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Məqsəd:</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Material və metodlar:</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Əsas qiymətləndirmə kriteriyaları:</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Əlavə qiymətləndirmə kriteriyaları:</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Açar sözlər:</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İşin növü və dizaynı:</w:t>
            </w: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A44D6">
            <w:pPr>
              <w:jc w:val="right"/>
              <w:rPr>
                <w:rFonts w:ascii="Times New Roman" w:eastAsia="Times New Roman" w:hAnsi="Times New Roman" w:cs="Times New Roman"/>
                <w:b/>
                <w:sz w:val="24"/>
                <w:szCs w:val="24"/>
              </w:rPr>
            </w:pP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A44D6">
            <w:pPr>
              <w:jc w:val="right"/>
              <w:rPr>
                <w:rFonts w:ascii="Times New Roman" w:eastAsia="Times New Roman" w:hAnsi="Times New Roman" w:cs="Times New Roman"/>
                <w:b/>
                <w:sz w:val="24"/>
                <w:szCs w:val="24"/>
              </w:rPr>
            </w:pPr>
          </w:p>
        </w:tc>
        <w:tc>
          <w:tcPr>
            <w:tcW w:w="7815" w:type="dxa"/>
          </w:tcPr>
          <w:p w:rsidR="003A44D6" w:rsidRDefault="003A44D6">
            <w:pPr>
              <w:jc w:val="both"/>
              <w:rPr>
                <w:rFonts w:ascii="Times New Roman" w:eastAsia="Times New Roman" w:hAnsi="Times New Roman" w:cs="Times New Roman"/>
                <w:sz w:val="24"/>
                <w:szCs w:val="24"/>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 (in english)</w:t>
            </w:r>
          </w:p>
        </w:tc>
        <w:tc>
          <w:tcPr>
            <w:tcW w:w="7815" w:type="dxa"/>
          </w:tcPr>
          <w:p w:rsidR="003A44D6" w:rsidRPr="00A616DF" w:rsidRDefault="00342707" w:rsidP="00F51A33">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 xml:space="preserve">The number of patients suffering from </w:t>
            </w:r>
            <w:r w:rsidR="00F51A33" w:rsidRPr="00A616DF">
              <w:rPr>
                <w:rFonts w:ascii="Times New Roman" w:eastAsia="Times New Roman" w:hAnsi="Times New Roman" w:cs="Times New Roman"/>
                <w:sz w:val="25"/>
                <w:szCs w:val="25"/>
              </w:rPr>
              <w:t>i</w:t>
            </w:r>
            <w:r w:rsidRPr="00A616DF">
              <w:rPr>
                <w:rFonts w:ascii="Times New Roman" w:eastAsia="Times New Roman" w:hAnsi="Times New Roman" w:cs="Times New Roman"/>
                <w:sz w:val="25"/>
                <w:szCs w:val="25"/>
              </w:rPr>
              <w:t xml:space="preserve">schemic </w:t>
            </w:r>
            <w:r w:rsidR="00F51A33" w:rsidRPr="00A616DF">
              <w:rPr>
                <w:rFonts w:ascii="Times New Roman" w:eastAsia="Times New Roman" w:hAnsi="Times New Roman" w:cs="Times New Roman"/>
                <w:sz w:val="25"/>
                <w:szCs w:val="25"/>
              </w:rPr>
              <w:t>h</w:t>
            </w:r>
            <w:r w:rsidRPr="00A616DF">
              <w:rPr>
                <w:rFonts w:ascii="Times New Roman" w:eastAsia="Times New Roman" w:hAnsi="Times New Roman" w:cs="Times New Roman"/>
                <w:sz w:val="25"/>
                <w:szCs w:val="25"/>
              </w:rPr>
              <w:t xml:space="preserve">eart </w:t>
            </w:r>
            <w:r w:rsidR="00F51A33" w:rsidRPr="00A616DF">
              <w:rPr>
                <w:rFonts w:ascii="Times New Roman" w:eastAsia="Times New Roman" w:hAnsi="Times New Roman" w:cs="Times New Roman"/>
                <w:sz w:val="25"/>
                <w:szCs w:val="25"/>
              </w:rPr>
              <w:t>d</w:t>
            </w:r>
            <w:r w:rsidRPr="00A616DF">
              <w:rPr>
                <w:rFonts w:ascii="Times New Roman" w:eastAsia="Times New Roman" w:hAnsi="Times New Roman" w:cs="Times New Roman"/>
                <w:sz w:val="25"/>
                <w:szCs w:val="25"/>
              </w:rPr>
              <w:t xml:space="preserve">isease </w:t>
            </w:r>
            <w:r w:rsidR="00F51A33" w:rsidRPr="00A616DF">
              <w:rPr>
                <w:rFonts w:ascii="Times New Roman" w:eastAsia="Times New Roman" w:hAnsi="Times New Roman" w:cs="Times New Roman"/>
                <w:sz w:val="25"/>
                <w:szCs w:val="25"/>
              </w:rPr>
              <w:t xml:space="preserve">(İHD) </w:t>
            </w:r>
            <w:r w:rsidRPr="00A616DF">
              <w:rPr>
                <w:rFonts w:ascii="Times New Roman" w:eastAsia="Times New Roman" w:hAnsi="Times New Roman" w:cs="Times New Roman"/>
                <w:sz w:val="25"/>
                <w:szCs w:val="25"/>
              </w:rPr>
              <w:t xml:space="preserve">due to the pandemic is constantly increasing due to </w:t>
            </w:r>
            <w:r w:rsidR="00F51A33" w:rsidRPr="00A616DF">
              <w:rPr>
                <w:rFonts w:ascii="Times New Roman" w:eastAsia="Times New Roman" w:hAnsi="Times New Roman" w:cs="Times New Roman"/>
                <w:sz w:val="25"/>
                <w:szCs w:val="25"/>
              </w:rPr>
              <w:t>C</w:t>
            </w:r>
            <w:r w:rsidRPr="00A616DF">
              <w:rPr>
                <w:rFonts w:ascii="Times New Roman" w:eastAsia="Times New Roman" w:hAnsi="Times New Roman" w:cs="Times New Roman"/>
                <w:sz w:val="25"/>
                <w:szCs w:val="25"/>
              </w:rPr>
              <w:t>oronavirus infection. It is known that C</w:t>
            </w:r>
            <w:r w:rsidR="00F51A33" w:rsidRPr="00A616DF">
              <w:rPr>
                <w:rFonts w:ascii="Times New Roman" w:eastAsia="Times New Roman" w:hAnsi="Times New Roman" w:cs="Times New Roman"/>
                <w:sz w:val="25"/>
                <w:szCs w:val="25"/>
              </w:rPr>
              <w:t>OVİD</w:t>
            </w:r>
            <w:r w:rsidRPr="00A616DF">
              <w:rPr>
                <w:rFonts w:ascii="Times New Roman" w:eastAsia="Times New Roman" w:hAnsi="Times New Roman" w:cs="Times New Roman"/>
                <w:sz w:val="25"/>
                <w:szCs w:val="25"/>
              </w:rPr>
              <w:t xml:space="preserve">-19 activates the thromboembolic system, causes systemic inflammation and endothelial dysfunction, increases the risk of fatal consequences. Of particular interest is the study of the activity of coagulation markers of the hemostasis system after conduction (D-Dimer, MMP). Therefore, in the </w:t>
            </w:r>
            <w:r w:rsidRPr="00A616DF">
              <w:rPr>
                <w:rFonts w:ascii="Times New Roman" w:eastAsia="Times New Roman" w:hAnsi="Times New Roman" w:cs="Times New Roman"/>
                <w:color w:val="0070C0"/>
                <w:sz w:val="25"/>
                <w:szCs w:val="25"/>
              </w:rPr>
              <w:t>postoperative</w:t>
            </w:r>
            <w:r w:rsidRPr="00A616DF">
              <w:rPr>
                <w:rFonts w:ascii="Times New Roman" w:eastAsia="Times New Roman" w:hAnsi="Times New Roman" w:cs="Times New Roman"/>
                <w:sz w:val="25"/>
                <w:szCs w:val="25"/>
              </w:rPr>
              <w:t xml:space="preserve"> period, the subsequent course of </w:t>
            </w:r>
            <w:r w:rsidRPr="00A616DF">
              <w:rPr>
                <w:rFonts w:ascii="Times New Roman" w:eastAsia="Times New Roman" w:hAnsi="Times New Roman" w:cs="Times New Roman"/>
                <w:color w:val="0070C0"/>
                <w:sz w:val="25"/>
                <w:szCs w:val="25"/>
              </w:rPr>
              <w:t>IBD</w:t>
            </w:r>
            <w:r w:rsidRPr="00A616DF">
              <w:rPr>
                <w:rFonts w:ascii="Times New Roman" w:eastAsia="Times New Roman" w:hAnsi="Times New Roman" w:cs="Times New Roman"/>
                <w:sz w:val="25"/>
                <w:szCs w:val="25"/>
              </w:rPr>
              <w:t>, the stage of myocardial dysfunction, the effectiveness of invasive strategy, the study of the rate of progression of coronary atherosclerosis and the identification of instrumental and biochemical markers of high-risk cardiovascular disease are relevant.</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study:</w:t>
            </w:r>
          </w:p>
        </w:tc>
        <w:tc>
          <w:tcPr>
            <w:tcW w:w="7815" w:type="dxa"/>
          </w:tcPr>
          <w:p w:rsidR="00125899" w:rsidRPr="00A616DF" w:rsidRDefault="00125899" w:rsidP="00125899">
            <w:pPr>
              <w:jc w:val="both"/>
              <w:rPr>
                <w:rFonts w:ascii="Times New Roman" w:eastAsia="Times New Roman" w:hAnsi="Times New Roman" w:cs="Times New Roman"/>
                <w:sz w:val="25"/>
                <w:szCs w:val="25"/>
                <w:lang w:val="en-US"/>
              </w:rPr>
            </w:pPr>
            <w:r w:rsidRPr="00A616DF">
              <w:rPr>
                <w:rFonts w:ascii="Times New Roman" w:eastAsia="Times New Roman" w:hAnsi="Times New Roman" w:cs="Times New Roman"/>
                <w:sz w:val="25"/>
                <w:szCs w:val="25"/>
                <w:lang w:val="en-US"/>
              </w:rPr>
              <w:t>Features of the course of coronary atherosclerosis and the results of coronary stenting in patients undergoing COVID-19</w:t>
            </w:r>
          </w:p>
          <w:p w:rsidR="003A44D6" w:rsidRPr="00A616DF" w:rsidRDefault="003A44D6" w:rsidP="00125899">
            <w:pPr>
              <w:jc w:val="both"/>
              <w:rPr>
                <w:rFonts w:ascii="Times New Roman" w:eastAsia="Times New Roman" w:hAnsi="Times New Roman" w:cs="Times New Roman"/>
                <w:sz w:val="25"/>
                <w:szCs w:val="25"/>
                <w:lang w:val="en-US"/>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Background:</w:t>
            </w:r>
          </w:p>
        </w:tc>
        <w:tc>
          <w:tcPr>
            <w:tcW w:w="7815" w:type="dxa"/>
          </w:tcPr>
          <w:p w:rsidR="00125899" w:rsidRPr="00A616DF" w:rsidRDefault="00125899" w:rsidP="00125899">
            <w:pPr>
              <w:jc w:val="both"/>
              <w:rPr>
                <w:rFonts w:ascii="Times New Roman" w:eastAsia="Times New Roman" w:hAnsi="Times New Roman" w:cs="Times New Roman"/>
                <w:sz w:val="25"/>
                <w:szCs w:val="25"/>
                <w:lang w:val="en-US"/>
              </w:rPr>
            </w:pPr>
            <w:r w:rsidRPr="00A616DF">
              <w:rPr>
                <w:rFonts w:ascii="Times New Roman" w:eastAsia="Times New Roman" w:hAnsi="Times New Roman" w:cs="Times New Roman"/>
                <w:sz w:val="25"/>
                <w:szCs w:val="25"/>
                <w:lang w:val="en-US"/>
              </w:rPr>
              <w:t xml:space="preserve">CVD diseases are the leading cause of mortality in the population of developed countries. The progression of these diseases, along with changes in the lipid profile, is closely associated with disorders in the hemostatic system. It </w:t>
            </w:r>
            <w:proofErr w:type="gramStart"/>
            <w:r w:rsidRPr="00A616DF">
              <w:rPr>
                <w:rFonts w:ascii="Times New Roman" w:eastAsia="Times New Roman" w:hAnsi="Times New Roman" w:cs="Times New Roman"/>
                <w:sz w:val="25"/>
                <w:szCs w:val="25"/>
                <w:lang w:val="en-US"/>
              </w:rPr>
              <w:t>has been proven</w:t>
            </w:r>
            <w:proofErr w:type="gramEnd"/>
            <w:r w:rsidRPr="00A616DF">
              <w:rPr>
                <w:rFonts w:ascii="Times New Roman" w:eastAsia="Times New Roman" w:hAnsi="Times New Roman" w:cs="Times New Roman"/>
                <w:sz w:val="25"/>
                <w:szCs w:val="25"/>
                <w:lang w:val="en-US"/>
              </w:rPr>
              <w:t xml:space="preserve"> that thrombosis that occurs on the surface of the damaged atherosclerotic plaque is the main </w:t>
            </w:r>
            <w:proofErr w:type="spellStart"/>
            <w:r w:rsidRPr="00A616DF">
              <w:rPr>
                <w:rFonts w:ascii="Times New Roman" w:eastAsia="Times New Roman" w:hAnsi="Times New Roman" w:cs="Times New Roman"/>
                <w:sz w:val="25"/>
                <w:szCs w:val="25"/>
                <w:lang w:val="en-US"/>
              </w:rPr>
              <w:t>pathogenetic</w:t>
            </w:r>
            <w:proofErr w:type="spellEnd"/>
            <w:r w:rsidRPr="00A616DF">
              <w:rPr>
                <w:rFonts w:ascii="Times New Roman" w:eastAsia="Times New Roman" w:hAnsi="Times New Roman" w:cs="Times New Roman"/>
                <w:sz w:val="25"/>
                <w:szCs w:val="25"/>
                <w:lang w:val="en-US"/>
              </w:rPr>
              <w:t xml:space="preserve"> factor in the progression of atherosclerosis and its complications [Falk E. 1995, </w:t>
            </w:r>
            <w:proofErr w:type="spellStart"/>
            <w:r w:rsidRPr="00A616DF">
              <w:rPr>
                <w:rFonts w:ascii="Times New Roman" w:eastAsia="Times New Roman" w:hAnsi="Times New Roman" w:cs="Times New Roman"/>
                <w:sz w:val="25"/>
                <w:szCs w:val="25"/>
                <w:lang w:val="en-US"/>
              </w:rPr>
              <w:t>Fuster</w:t>
            </w:r>
            <w:proofErr w:type="spellEnd"/>
            <w:r w:rsidRPr="00A616DF">
              <w:rPr>
                <w:rFonts w:ascii="Times New Roman" w:eastAsia="Times New Roman" w:hAnsi="Times New Roman" w:cs="Times New Roman"/>
                <w:sz w:val="25"/>
                <w:szCs w:val="25"/>
                <w:lang w:val="en-US"/>
              </w:rPr>
              <w:t xml:space="preserve"> V. 2005]. Due to the COVID-19 pandemic, the number of patients with coronary artery disease who have undergone coronavirus infection is steadily increasing. It </w:t>
            </w:r>
            <w:proofErr w:type="gramStart"/>
            <w:r w:rsidRPr="00A616DF">
              <w:rPr>
                <w:rFonts w:ascii="Times New Roman" w:eastAsia="Times New Roman" w:hAnsi="Times New Roman" w:cs="Times New Roman"/>
                <w:sz w:val="25"/>
                <w:szCs w:val="25"/>
                <w:lang w:val="en-US"/>
              </w:rPr>
              <w:t>is known</w:t>
            </w:r>
            <w:proofErr w:type="gramEnd"/>
            <w:r w:rsidRPr="00A616DF">
              <w:rPr>
                <w:rFonts w:ascii="Times New Roman" w:eastAsia="Times New Roman" w:hAnsi="Times New Roman" w:cs="Times New Roman"/>
                <w:sz w:val="25"/>
                <w:szCs w:val="25"/>
                <w:lang w:val="en-US"/>
              </w:rPr>
              <w:t xml:space="preserve"> that COVID-19 activates the thrombus formation system, causes systemic inflammation and ED, and increases the risk of fatal outcomes. Activation of </w:t>
            </w:r>
            <w:proofErr w:type="spellStart"/>
            <w:r w:rsidRPr="00A616DF">
              <w:rPr>
                <w:rFonts w:ascii="Times New Roman" w:eastAsia="Times New Roman" w:hAnsi="Times New Roman" w:cs="Times New Roman"/>
                <w:sz w:val="25"/>
                <w:szCs w:val="25"/>
                <w:lang w:val="en-US"/>
              </w:rPr>
              <w:t>prothrombogenic</w:t>
            </w:r>
            <w:proofErr w:type="spellEnd"/>
            <w:r w:rsidRPr="00A616DF">
              <w:rPr>
                <w:rFonts w:ascii="Times New Roman" w:eastAsia="Times New Roman" w:hAnsi="Times New Roman" w:cs="Times New Roman"/>
                <w:sz w:val="25"/>
                <w:szCs w:val="25"/>
                <w:lang w:val="en-US"/>
              </w:rPr>
              <w:t xml:space="preserve"> processes increases the likelihood of updating old plaques, which requires clarification. In this regard, the study of coagulation markers of activation of the hemostasis system (D-dimer, MMP), biomarkers of inflammation and ED, considered as probable predictors of the development of ACS, cerebrovascular complications, cardiovascular of death. Therefore, in the post-COVID-19 period, it is relevant to study the further course of ischemic heart disease, the degree of myocardial dysfunction, the effectiveness of the invasive strategy, the rate of </w:t>
            </w:r>
            <w:r w:rsidRPr="00A616DF">
              <w:rPr>
                <w:rFonts w:ascii="Times New Roman" w:eastAsia="Times New Roman" w:hAnsi="Times New Roman" w:cs="Times New Roman"/>
                <w:sz w:val="25"/>
                <w:szCs w:val="25"/>
                <w:lang w:val="en-US"/>
              </w:rPr>
              <w:lastRenderedPageBreak/>
              <w:t>progression of coronary atherosclerosis and the determination of instrumental and biochemical markers of the increased risk of CVD.</w:t>
            </w:r>
          </w:p>
          <w:p w:rsidR="003A44D6" w:rsidRPr="00A616DF" w:rsidRDefault="00125899" w:rsidP="00125899">
            <w:pPr>
              <w:jc w:val="both"/>
              <w:rPr>
                <w:rFonts w:ascii="Times New Roman" w:eastAsia="Times New Roman" w:hAnsi="Times New Roman" w:cs="Times New Roman"/>
                <w:sz w:val="25"/>
                <w:szCs w:val="25"/>
                <w:lang w:val="en-US"/>
              </w:rPr>
            </w:pPr>
            <w:r w:rsidRPr="00A616DF">
              <w:rPr>
                <w:rFonts w:ascii="Times New Roman" w:eastAsia="Times New Roman" w:hAnsi="Times New Roman" w:cs="Times New Roman"/>
                <w:sz w:val="25"/>
                <w:szCs w:val="25"/>
                <w:lang w:val="en-US"/>
              </w:rPr>
              <w:t xml:space="preserve">The relationship between </w:t>
            </w:r>
            <w:proofErr w:type="spellStart"/>
            <w:r w:rsidRPr="00A616DF">
              <w:rPr>
                <w:rFonts w:ascii="Times New Roman" w:eastAsia="Times New Roman" w:hAnsi="Times New Roman" w:cs="Times New Roman"/>
                <w:sz w:val="25"/>
                <w:szCs w:val="25"/>
                <w:lang w:val="en-US"/>
              </w:rPr>
              <w:t>atherogenesis</w:t>
            </w:r>
            <w:proofErr w:type="spellEnd"/>
            <w:r w:rsidRPr="00A616DF">
              <w:rPr>
                <w:rFonts w:ascii="Times New Roman" w:eastAsia="Times New Roman" w:hAnsi="Times New Roman" w:cs="Times New Roman"/>
                <w:sz w:val="25"/>
                <w:szCs w:val="25"/>
                <w:lang w:val="en-US"/>
              </w:rPr>
              <w:t xml:space="preserve"> and thrombus formation, confirmed in experimental and clinical studies, served as a prerequisite for the creation of the concept of </w:t>
            </w:r>
            <w:proofErr w:type="spellStart"/>
            <w:r w:rsidRPr="00A616DF">
              <w:rPr>
                <w:rFonts w:ascii="Times New Roman" w:eastAsia="Times New Roman" w:hAnsi="Times New Roman" w:cs="Times New Roman"/>
                <w:sz w:val="25"/>
                <w:szCs w:val="25"/>
                <w:lang w:val="en-US"/>
              </w:rPr>
              <w:t>atherothrombosis</w:t>
            </w:r>
            <w:proofErr w:type="spellEnd"/>
            <w:r w:rsidRPr="00A616DF">
              <w:rPr>
                <w:rFonts w:ascii="Times New Roman" w:eastAsia="Times New Roman" w:hAnsi="Times New Roman" w:cs="Times New Roman"/>
                <w:sz w:val="25"/>
                <w:szCs w:val="25"/>
                <w:lang w:val="en-US"/>
              </w:rPr>
              <w:t xml:space="preserve"> and the search for markers characterizing the activation of key </w:t>
            </w:r>
            <w:proofErr w:type="spellStart"/>
            <w:r w:rsidRPr="00A616DF">
              <w:rPr>
                <w:rFonts w:ascii="Times New Roman" w:eastAsia="Times New Roman" w:hAnsi="Times New Roman" w:cs="Times New Roman"/>
                <w:sz w:val="25"/>
                <w:szCs w:val="25"/>
                <w:lang w:val="en-US"/>
              </w:rPr>
              <w:t>pathogenetic</w:t>
            </w:r>
            <w:proofErr w:type="spellEnd"/>
            <w:r w:rsidRPr="00A616DF">
              <w:rPr>
                <w:rFonts w:ascii="Times New Roman" w:eastAsia="Times New Roman" w:hAnsi="Times New Roman" w:cs="Times New Roman"/>
                <w:sz w:val="25"/>
                <w:szCs w:val="25"/>
                <w:lang w:val="en-US"/>
              </w:rPr>
              <w:t xml:space="preserve"> links of this process. </w:t>
            </w:r>
            <w:proofErr w:type="gramStart"/>
            <w:r w:rsidRPr="00A616DF">
              <w:rPr>
                <w:rFonts w:ascii="Times New Roman" w:eastAsia="Times New Roman" w:hAnsi="Times New Roman" w:cs="Times New Roman"/>
                <w:sz w:val="25"/>
                <w:szCs w:val="25"/>
                <w:lang w:val="en-US"/>
              </w:rPr>
              <w:t>Also</w:t>
            </w:r>
            <w:proofErr w:type="gramEnd"/>
            <w:r w:rsidRPr="00A616DF">
              <w:rPr>
                <w:rFonts w:ascii="Times New Roman" w:eastAsia="Times New Roman" w:hAnsi="Times New Roman" w:cs="Times New Roman"/>
                <w:sz w:val="25"/>
                <w:szCs w:val="25"/>
                <w:lang w:val="en-US"/>
              </w:rPr>
              <w:t xml:space="preserve">, one of the main strategies for the treatment of coronary artery disease is PCI. PCI is the main treatment strategy for ACS. Along with this, in recent years, the number of PCIs with stable coronary artery disease has been growing. </w:t>
            </w:r>
            <w:proofErr w:type="gramStart"/>
            <w:r w:rsidRPr="00A616DF">
              <w:rPr>
                <w:rFonts w:ascii="Times New Roman" w:eastAsia="Times New Roman" w:hAnsi="Times New Roman" w:cs="Times New Roman"/>
                <w:sz w:val="25"/>
                <w:szCs w:val="25"/>
                <w:lang w:val="en-US"/>
              </w:rPr>
              <w:t>However, according to the results of the COURAGE study, the opinion was formed that the most likely reason for the absence of a positive effect of PCI on the prognosis of patients with chronic coronary artery disease is associated with the fact that the effect is carried out, as a rule, in relation to hemodynamically significant "old" atherosclerotic plaques, which rarely lead to the development of ACS.</w:t>
            </w:r>
            <w:proofErr w:type="gramEnd"/>
            <w:r w:rsidRPr="00A616DF">
              <w:rPr>
                <w:rFonts w:ascii="Times New Roman" w:eastAsia="Times New Roman" w:hAnsi="Times New Roman" w:cs="Times New Roman"/>
                <w:sz w:val="25"/>
                <w:szCs w:val="25"/>
                <w:lang w:val="en-US"/>
              </w:rPr>
              <w:t xml:space="preserve"> ... </w:t>
            </w:r>
            <w:proofErr w:type="gramStart"/>
            <w:r w:rsidRPr="00A616DF">
              <w:rPr>
                <w:rFonts w:ascii="Times New Roman" w:eastAsia="Times New Roman" w:hAnsi="Times New Roman" w:cs="Times New Roman"/>
                <w:sz w:val="25"/>
                <w:szCs w:val="25"/>
                <w:lang w:val="en-US"/>
              </w:rPr>
              <w:t>It is known that the implementation of invasive intervention is accompanied by systemic activation of platelets, the coagulation cascade and MMP [</w:t>
            </w:r>
            <w:proofErr w:type="spellStart"/>
            <w:r w:rsidRPr="00A616DF">
              <w:rPr>
                <w:rFonts w:ascii="Times New Roman" w:eastAsia="Times New Roman" w:hAnsi="Times New Roman" w:cs="Times New Roman"/>
                <w:sz w:val="25"/>
                <w:szCs w:val="25"/>
                <w:lang w:val="en-US"/>
              </w:rPr>
              <w:t>Zemlyanskaya</w:t>
            </w:r>
            <w:proofErr w:type="spellEnd"/>
            <w:r w:rsidRPr="00A616DF">
              <w:rPr>
                <w:rFonts w:ascii="Times New Roman" w:eastAsia="Times New Roman" w:hAnsi="Times New Roman" w:cs="Times New Roman"/>
                <w:sz w:val="25"/>
                <w:szCs w:val="25"/>
                <w:lang w:val="en-US"/>
              </w:rPr>
              <w:t xml:space="preserve"> OA et al, 2004; </w:t>
            </w:r>
            <w:proofErr w:type="spellStart"/>
            <w:r w:rsidRPr="00A616DF">
              <w:rPr>
                <w:rFonts w:ascii="Times New Roman" w:eastAsia="Times New Roman" w:hAnsi="Times New Roman" w:cs="Times New Roman"/>
                <w:sz w:val="25"/>
                <w:szCs w:val="25"/>
                <w:lang w:val="en-US"/>
              </w:rPr>
              <w:t>Katsaros</w:t>
            </w:r>
            <w:proofErr w:type="spellEnd"/>
            <w:r w:rsidRPr="00A616DF">
              <w:rPr>
                <w:rFonts w:ascii="Times New Roman" w:eastAsia="Times New Roman" w:hAnsi="Times New Roman" w:cs="Times New Roman"/>
                <w:sz w:val="25"/>
                <w:szCs w:val="25"/>
                <w:lang w:val="en-US"/>
              </w:rPr>
              <w:t xml:space="preserve"> K. et al., 2010], therefore, based on the evidence obtained by a number of authors that in clinically stable patients, an increase in the level of biomarkers of activation of the coagulation cascade, fibrinolysis, and MMP in the bloodstream may precede the development of CVC (studies by </w:t>
            </w:r>
            <w:proofErr w:type="spellStart"/>
            <w:r w:rsidRPr="00A616DF">
              <w:rPr>
                <w:rFonts w:ascii="Times New Roman" w:eastAsia="Times New Roman" w:hAnsi="Times New Roman" w:cs="Times New Roman"/>
                <w:sz w:val="25"/>
                <w:szCs w:val="25"/>
                <w:lang w:val="en-US"/>
              </w:rPr>
              <w:t>AtheroGene</w:t>
            </w:r>
            <w:proofErr w:type="spellEnd"/>
            <w:r w:rsidRPr="00A616DF">
              <w:rPr>
                <w:rFonts w:ascii="Times New Roman" w:eastAsia="Times New Roman" w:hAnsi="Times New Roman" w:cs="Times New Roman"/>
                <w:sz w:val="25"/>
                <w:szCs w:val="25"/>
                <w:lang w:val="en-US"/>
              </w:rPr>
              <w:t xml:space="preserve">, 2006, Edinburgh 2007, and etc.), and it is possible that these effects are responsible for the progression of the </w:t>
            </w:r>
            <w:proofErr w:type="spellStart"/>
            <w:r w:rsidRPr="00A616DF">
              <w:rPr>
                <w:rFonts w:ascii="Times New Roman" w:eastAsia="Times New Roman" w:hAnsi="Times New Roman" w:cs="Times New Roman"/>
                <w:sz w:val="25"/>
                <w:szCs w:val="25"/>
                <w:lang w:val="en-US"/>
              </w:rPr>
              <w:t>atherothrombotic</w:t>
            </w:r>
            <w:proofErr w:type="spellEnd"/>
            <w:r w:rsidRPr="00A616DF">
              <w:rPr>
                <w:rFonts w:ascii="Times New Roman" w:eastAsia="Times New Roman" w:hAnsi="Times New Roman" w:cs="Times New Roman"/>
                <w:sz w:val="25"/>
                <w:szCs w:val="25"/>
                <w:lang w:val="en-US"/>
              </w:rPr>
              <w:t xml:space="preserve"> process after PCI.</w:t>
            </w:r>
            <w:proofErr w:type="gramEnd"/>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Objective:</w:t>
            </w:r>
          </w:p>
        </w:tc>
        <w:tc>
          <w:tcPr>
            <w:tcW w:w="7815" w:type="dxa"/>
          </w:tcPr>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Objectives</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1. To study the frequency of the main CVD risk factors, the prevalence of atherosclerotic lesions and the state of the coronary bed according to SYNTAX Score, the need for myocardial revascularization in CHD patients who have undergone COVID-19.</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2. In coronary artery disease patients who have undergone COVID-19, study the biomarkers of inflammation, ED and thrombosis within a year after coronary stenting.</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3. In patients with coronary artery disease who have undergone COVID-19, study the pumping function of the heart within a year after coronary stenting.</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4. In patients with coronary artery disease who have undergone COVID-19, to assess the effectiveness of DAPT and statin therapy within a year after coronary stenting, their effect on the coagulation potential of blood and the prevalence of atherosclerotic lesions of the coronary bed.</w:t>
            </w:r>
          </w:p>
          <w:p w:rsidR="003A44D6"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5. In patients with coronary artery disease who have undergone COVID-19, to study the frequency of major adverse cardiac outcomes (MACE), to determine possible predictors of recurrence of symptoms, manifestation and progression of CHF within a year after intracoronary stenting.</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Material and methods (patient groups and interventions):</w:t>
            </w:r>
          </w:p>
        </w:tc>
        <w:tc>
          <w:tcPr>
            <w:tcW w:w="7815" w:type="dxa"/>
          </w:tcPr>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Material and methods</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 xml:space="preserve">201 patients with clinical manifestations of coronary artery disease who have undergone COVID-19 and 201 patients with coronary artery disease without previous COVID-19 who will undergo PCI with implantation of stents with </w:t>
            </w:r>
            <w:r w:rsidRPr="00A616DF">
              <w:rPr>
                <w:rFonts w:ascii="Times New Roman" w:eastAsia="Times New Roman" w:hAnsi="Times New Roman" w:cs="Times New Roman"/>
                <w:sz w:val="25"/>
                <w:szCs w:val="25"/>
              </w:rPr>
              <w:lastRenderedPageBreak/>
              <w:t>DES. The degree of CVR according to SCORE, the severity of coronary lesions according to SYNTAX Score, pumping function of the myocardium, including early disturbances of global contractility (Strain Eco), biomarkers of inflammation and ED, blood coagulation potential, and the effectiveness of pharmacotherapy will be studied. Sex distribution: men - at least 70%. Distribution by age: 45-65 years old.</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Functional research methods, visualization methods:</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xml:space="preserve">Stress ECG on treadmill, outpatient ECG monitoring, CAG, </w:t>
            </w:r>
            <w:proofErr w:type="spellStart"/>
            <w:r w:rsidRPr="00A616DF">
              <w:rPr>
                <w:rFonts w:ascii="Times New Roman" w:hAnsi="Times New Roman" w:cs="Times New Roman"/>
                <w:sz w:val="25"/>
                <w:szCs w:val="25"/>
                <w:lang w:val="en-US"/>
              </w:rPr>
              <w:t>EchoCG</w:t>
            </w:r>
            <w:proofErr w:type="spellEnd"/>
            <w:r w:rsidRPr="00A616DF">
              <w:rPr>
                <w:rFonts w:ascii="Times New Roman" w:hAnsi="Times New Roman" w:cs="Times New Roman"/>
                <w:sz w:val="25"/>
                <w:szCs w:val="25"/>
                <w:lang w:val="en-US"/>
              </w:rPr>
              <w:t>, Strain Eco</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Deterioration of LV pumping function will be documented according to the following criteria:</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a decrease in the initially normal (i.e., measured at the first visit) LV EF to 49% or less, or a decrease in the initial LV EF by 10% or more;</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the appearance / progression of DDM detected during two consecutive visits to the doctor;</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xml:space="preserve">- </w:t>
            </w:r>
            <w:proofErr w:type="gramStart"/>
            <w:r w:rsidRPr="00A616DF">
              <w:rPr>
                <w:rFonts w:ascii="Times New Roman" w:hAnsi="Times New Roman" w:cs="Times New Roman"/>
                <w:sz w:val="25"/>
                <w:szCs w:val="25"/>
                <w:lang w:val="en-US"/>
              </w:rPr>
              <w:t>violation</w:t>
            </w:r>
            <w:proofErr w:type="gramEnd"/>
            <w:r w:rsidRPr="00A616DF">
              <w:rPr>
                <w:rFonts w:ascii="Times New Roman" w:hAnsi="Times New Roman" w:cs="Times New Roman"/>
                <w:sz w:val="25"/>
                <w:szCs w:val="25"/>
                <w:lang w:val="en-US"/>
              </w:rPr>
              <w:t xml:space="preserve"> of regional LV contractility.</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Biochemical blood tests</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xml:space="preserve">Biomarkers of inflammation and ED: </w:t>
            </w:r>
            <w:proofErr w:type="spellStart"/>
            <w:r w:rsidRPr="00A616DF">
              <w:rPr>
                <w:rFonts w:ascii="Times New Roman" w:hAnsi="Times New Roman" w:cs="Times New Roman"/>
                <w:sz w:val="25"/>
                <w:szCs w:val="25"/>
                <w:lang w:val="en-US"/>
              </w:rPr>
              <w:t>hsCRP</w:t>
            </w:r>
            <w:proofErr w:type="spellEnd"/>
            <w:r w:rsidRPr="00A616DF">
              <w:rPr>
                <w:rFonts w:ascii="Times New Roman" w:hAnsi="Times New Roman" w:cs="Times New Roman"/>
                <w:sz w:val="25"/>
                <w:szCs w:val="25"/>
                <w:lang w:val="en-US"/>
              </w:rPr>
              <w:t xml:space="preserve">, cytokines, </w:t>
            </w:r>
            <w:proofErr w:type="spellStart"/>
            <w:r w:rsidRPr="00A616DF">
              <w:rPr>
                <w:rFonts w:ascii="Times New Roman" w:hAnsi="Times New Roman" w:cs="Times New Roman"/>
                <w:sz w:val="25"/>
                <w:szCs w:val="25"/>
                <w:lang w:val="en-US"/>
              </w:rPr>
              <w:t>homocysteine</w:t>
            </w:r>
            <w:proofErr w:type="spellEnd"/>
            <w:r w:rsidRPr="00A616DF">
              <w:rPr>
                <w:rFonts w:ascii="Times New Roman" w:hAnsi="Times New Roman" w:cs="Times New Roman"/>
                <w:sz w:val="25"/>
                <w:szCs w:val="25"/>
                <w:lang w:val="en-US"/>
              </w:rPr>
              <w:t>, endothelin-1, NO metabolites;</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Hemostasis system and thrombosis markers: fibrinogen, D-dimer, İNR, MMP-9;</w:t>
            </w:r>
          </w:p>
          <w:p w:rsidR="00125899" w:rsidRPr="00A616DF" w:rsidRDefault="00125899" w:rsidP="00125899">
            <w:pPr>
              <w:rPr>
                <w:rFonts w:ascii="Times New Roman" w:hAnsi="Times New Roman" w:cs="Times New Roman"/>
                <w:sz w:val="25"/>
                <w:szCs w:val="25"/>
                <w:lang w:val="en-US"/>
              </w:rPr>
            </w:pPr>
            <w:r w:rsidRPr="00A616DF">
              <w:rPr>
                <w:rFonts w:ascii="Times New Roman" w:hAnsi="Times New Roman" w:cs="Times New Roman"/>
                <w:sz w:val="25"/>
                <w:szCs w:val="25"/>
                <w:lang w:val="en-US"/>
              </w:rPr>
              <w:t xml:space="preserve">Biomarkers of myocardial damage and dysfunction: </w:t>
            </w:r>
            <w:proofErr w:type="spellStart"/>
            <w:r w:rsidRPr="00A616DF">
              <w:rPr>
                <w:rFonts w:ascii="Times New Roman" w:hAnsi="Times New Roman" w:cs="Times New Roman"/>
                <w:sz w:val="25"/>
                <w:szCs w:val="25"/>
                <w:lang w:val="en-US"/>
              </w:rPr>
              <w:t>Tn</w:t>
            </w:r>
            <w:proofErr w:type="spellEnd"/>
            <w:r w:rsidRPr="00A616DF">
              <w:rPr>
                <w:rFonts w:ascii="Times New Roman" w:hAnsi="Times New Roman" w:cs="Times New Roman"/>
                <w:sz w:val="25"/>
                <w:szCs w:val="25"/>
                <w:lang w:val="en-US"/>
              </w:rPr>
              <w:t xml:space="preserve"> İ / T, NT-pro-BNP;</w:t>
            </w:r>
          </w:p>
          <w:p w:rsidR="003A44D6" w:rsidRPr="00A616DF" w:rsidRDefault="00125899" w:rsidP="00125899">
            <w:pPr>
              <w:jc w:val="both"/>
              <w:rPr>
                <w:rFonts w:ascii="Times New Roman" w:eastAsia="Times New Roman" w:hAnsi="Times New Roman" w:cs="Times New Roman"/>
                <w:sz w:val="25"/>
                <w:szCs w:val="25"/>
              </w:rPr>
            </w:pPr>
            <w:r w:rsidRPr="00A616DF">
              <w:rPr>
                <w:rFonts w:ascii="Times New Roman" w:hAnsi="Times New Roman" w:cs="Times New Roman"/>
                <w:sz w:val="25"/>
                <w:szCs w:val="25"/>
                <w:lang w:val="en-US"/>
              </w:rPr>
              <w:t>Biochemical indicators: lipid profile, electrolytes, glucose, HbA1, creatinine, urea, ALT, AST, GGT, uric acid, vitamin D.</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Primary outcome:</w:t>
            </w:r>
          </w:p>
        </w:tc>
        <w:tc>
          <w:tcPr>
            <w:tcW w:w="7815" w:type="dxa"/>
          </w:tcPr>
          <w:p w:rsidR="003A44D6" w:rsidRPr="00A616DF"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outcome:</w:t>
            </w:r>
          </w:p>
        </w:tc>
        <w:tc>
          <w:tcPr>
            <w:tcW w:w="7815" w:type="dxa"/>
          </w:tcPr>
          <w:p w:rsidR="003A44D6" w:rsidRPr="00A616DF" w:rsidRDefault="003A44D6">
            <w:pPr>
              <w:jc w:val="both"/>
              <w:rPr>
                <w:rFonts w:ascii="Times New Roman" w:eastAsia="Times New Roman" w:hAnsi="Times New Roman" w:cs="Times New Roman"/>
                <w:sz w:val="25"/>
                <w:szCs w:val="25"/>
              </w:rPr>
            </w:pP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p>
        </w:tc>
        <w:tc>
          <w:tcPr>
            <w:tcW w:w="7815" w:type="dxa"/>
          </w:tcPr>
          <w:p w:rsidR="003A44D6" w:rsidRPr="00A616DF" w:rsidRDefault="00A616DF" w:rsidP="00A616DF">
            <w:pPr>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COVİD-19, acute </w:t>
            </w:r>
            <w:r>
              <w:rPr>
                <w:rFonts w:ascii="Times New Roman" w:eastAsia="Times New Roman" w:hAnsi="Times New Roman" w:cs="Times New Roman"/>
                <w:sz w:val="25"/>
                <w:szCs w:val="25"/>
                <w:lang w:val="en-US"/>
              </w:rPr>
              <w:t>coronary syndrome</w:t>
            </w:r>
            <w:r>
              <w:rPr>
                <w:rFonts w:ascii="Times New Roman" w:eastAsia="Times New Roman" w:hAnsi="Times New Roman" w:cs="Times New Roman"/>
                <w:sz w:val="25"/>
                <w:szCs w:val="25"/>
              </w:rPr>
              <w:t xml:space="preserve">, </w:t>
            </w:r>
            <w:r w:rsidRPr="00A616DF">
              <w:rPr>
                <w:rFonts w:ascii="Times New Roman" w:eastAsia="Times New Roman" w:hAnsi="Times New Roman" w:cs="Times New Roman"/>
                <w:sz w:val="25"/>
                <w:szCs w:val="25"/>
              </w:rPr>
              <w:t>Strain Eco</w:t>
            </w:r>
            <w:r>
              <w:rPr>
                <w:rFonts w:ascii="Times New Roman" w:eastAsia="Times New Roman" w:hAnsi="Times New Roman" w:cs="Times New Roman"/>
                <w:sz w:val="25"/>
                <w:szCs w:val="25"/>
              </w:rPr>
              <w:t>,</w:t>
            </w:r>
            <w:r w:rsidRPr="00A616DF">
              <w:rPr>
                <w:rFonts w:ascii="Times New Roman" w:eastAsia="Times New Roman" w:hAnsi="Times New Roman" w:cs="Times New Roman"/>
                <w:sz w:val="25"/>
                <w:szCs w:val="25"/>
              </w:rPr>
              <w:t xml:space="preserve"> cytokines, homocysteine, endothelin-1, </w:t>
            </w:r>
            <w:r>
              <w:rPr>
                <w:rFonts w:ascii="Times New Roman" w:eastAsia="Times New Roman" w:hAnsi="Times New Roman" w:cs="Times New Roman"/>
                <w:sz w:val="25"/>
                <w:szCs w:val="25"/>
              </w:rPr>
              <w:t>matrix</w:t>
            </w:r>
            <w:bookmarkStart w:id="1" w:name="_GoBack"/>
            <w:bookmarkEnd w:id="1"/>
            <w:r>
              <w:rPr>
                <w:rFonts w:ascii="Times New Roman" w:eastAsia="Times New Roman" w:hAnsi="Times New Roman" w:cs="Times New Roman"/>
                <w:sz w:val="25"/>
                <w:szCs w:val="25"/>
              </w:rPr>
              <w:t xml:space="preserve"> metalloproteinase</w:t>
            </w:r>
            <w:r w:rsidRPr="00A616DF">
              <w:rPr>
                <w:rFonts w:ascii="Times New Roman" w:eastAsia="Times New Roman" w:hAnsi="Times New Roman" w:cs="Times New Roman"/>
                <w:sz w:val="25"/>
                <w:szCs w:val="25"/>
              </w:rPr>
              <w:t xml:space="preserve">-9 </w:t>
            </w:r>
          </w:p>
        </w:tc>
        <w:tc>
          <w:tcPr>
            <w:tcW w:w="255" w:type="dxa"/>
          </w:tcPr>
          <w:p w:rsidR="003A44D6" w:rsidRDefault="003A44D6">
            <w:pPr>
              <w:jc w:val="both"/>
              <w:rPr>
                <w:rFonts w:ascii="Times New Roman" w:eastAsia="Times New Roman" w:hAnsi="Times New Roman" w:cs="Times New Roman"/>
                <w:sz w:val="24"/>
                <w:szCs w:val="24"/>
              </w:rPr>
            </w:pPr>
          </w:p>
        </w:tc>
      </w:tr>
      <w:tr w:rsidR="003A44D6">
        <w:tc>
          <w:tcPr>
            <w:tcW w:w="1950" w:type="dxa"/>
            <w:shd w:val="clear" w:color="auto" w:fill="FFFFFF"/>
          </w:tcPr>
          <w:p w:rsidR="003A44D6" w:rsidRDefault="0034270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type and design:</w:t>
            </w:r>
          </w:p>
        </w:tc>
        <w:tc>
          <w:tcPr>
            <w:tcW w:w="7815" w:type="dxa"/>
          </w:tcPr>
          <w:p w:rsidR="00125899" w:rsidRPr="00A616DF" w:rsidRDefault="00125899" w:rsidP="00125899">
            <w:pPr>
              <w:jc w:val="both"/>
              <w:rPr>
                <w:rFonts w:ascii="Times New Roman" w:eastAsia="Times New Roman" w:hAnsi="Times New Roman" w:cs="Times New Roman"/>
                <w:sz w:val="25"/>
                <w:szCs w:val="25"/>
                <w:lang w:val="en-US"/>
              </w:rPr>
            </w:pPr>
            <w:r w:rsidRPr="00A616DF">
              <w:rPr>
                <w:rFonts w:ascii="Times New Roman" w:eastAsia="Times New Roman" w:hAnsi="Times New Roman" w:cs="Times New Roman"/>
                <w:sz w:val="25"/>
                <w:szCs w:val="25"/>
                <w:lang w:val="en-US"/>
              </w:rPr>
              <w:t>Study type</w:t>
            </w:r>
            <w:r w:rsidRPr="00A616DF">
              <w:rPr>
                <w:rFonts w:ascii="Times New Roman" w:eastAsia="Times New Roman" w:hAnsi="Times New Roman" w:cs="Times New Roman"/>
                <w:sz w:val="25"/>
                <w:szCs w:val="25"/>
                <w:lang w:val="en-US"/>
              </w:rPr>
              <w:t xml:space="preserve">: </w:t>
            </w:r>
            <w:r w:rsidRPr="00A616DF">
              <w:rPr>
                <w:rFonts w:ascii="Times New Roman" w:eastAsia="Times New Roman" w:hAnsi="Times New Roman" w:cs="Times New Roman"/>
                <w:sz w:val="25"/>
                <w:szCs w:val="25"/>
                <w:lang w:val="en-US"/>
              </w:rPr>
              <w:t>case-control, retrospective-prospective, open-label, controlled.</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Study design</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The selection of the study participants will be carried out from patients presenting to the ICC with cardiac complaints. The main inclusion criterion will be PCI with DES implantation. Patients in an open way, patients will be divided into two groups: those who have suffered from COVID-19 and those who are uninfected with COVID-19. All patients will sign an Informed Consent Form to participate in the study. Control after CA stenting during the year: every month by phone, every 3 months examination in the clinic. A survey card will be kept for each patient, where the results will be entered. Cardiac event (MACE) will be considered non-fatal heart attack / stroke, the need for repeated therapeutic invasive intervention on the coronary artery, hospitalization for heart failure, death.</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Inclusion criteria:</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lastRenderedPageBreak/>
              <w:t>ACS, chronic coronary syndrome, coronary artery stenting, 2-6 months ago underwent COVID-19.</w:t>
            </w:r>
          </w:p>
          <w:p w:rsidR="00125899"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Exclusion criteria:</w:t>
            </w:r>
          </w:p>
          <w:p w:rsidR="003A44D6" w:rsidRPr="00A616DF" w:rsidRDefault="00125899" w:rsidP="00125899">
            <w:pPr>
              <w:jc w:val="both"/>
              <w:rPr>
                <w:rFonts w:ascii="Times New Roman" w:eastAsia="Times New Roman" w:hAnsi="Times New Roman" w:cs="Times New Roman"/>
                <w:sz w:val="25"/>
                <w:szCs w:val="25"/>
              </w:rPr>
            </w:pPr>
            <w:r w:rsidRPr="00A616DF">
              <w:rPr>
                <w:rFonts w:ascii="Times New Roman" w:eastAsia="Times New Roman" w:hAnsi="Times New Roman" w:cs="Times New Roman"/>
                <w:sz w:val="25"/>
                <w:szCs w:val="25"/>
              </w:rPr>
              <w:t>CHF of non-ischemic origin, history of bleeding, autoimmune diseases, anemia, CKD, oncology, long-term use of anticoagulants, steroids, NSAIDs.</w:t>
            </w:r>
          </w:p>
        </w:tc>
        <w:tc>
          <w:tcPr>
            <w:tcW w:w="255" w:type="dxa"/>
          </w:tcPr>
          <w:p w:rsidR="003A44D6" w:rsidRDefault="003A44D6">
            <w:pPr>
              <w:jc w:val="both"/>
              <w:rPr>
                <w:rFonts w:ascii="Times New Roman" w:eastAsia="Times New Roman" w:hAnsi="Times New Roman" w:cs="Times New Roman"/>
                <w:sz w:val="24"/>
                <w:szCs w:val="24"/>
              </w:rPr>
            </w:pPr>
          </w:p>
        </w:tc>
      </w:tr>
    </w:tbl>
    <w:p w:rsidR="003A44D6" w:rsidRDefault="003A44D6">
      <w:pPr>
        <w:rPr>
          <w:rFonts w:ascii="Times New Roman" w:eastAsia="Times New Roman" w:hAnsi="Times New Roman" w:cs="Times New Roman"/>
          <w:sz w:val="28"/>
          <w:szCs w:val="28"/>
        </w:rPr>
      </w:pPr>
    </w:p>
    <w:sectPr w:rsidR="003A44D6">
      <w:headerReference w:type="default" r:id="rId9"/>
      <w:footerReference w:type="default" r:id="rId10"/>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92" w:rsidRDefault="007B4092">
      <w:pPr>
        <w:spacing w:after="0" w:line="240" w:lineRule="auto"/>
      </w:pPr>
      <w:r>
        <w:separator/>
      </w:r>
    </w:p>
  </w:endnote>
  <w:endnote w:type="continuationSeparator" w:id="0">
    <w:p w:rsidR="007B4092" w:rsidRDefault="007B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717083"/>
      <w:docPartObj>
        <w:docPartGallery w:val="Page Numbers (Bottom of Page)"/>
        <w:docPartUnique/>
      </w:docPartObj>
    </w:sdtPr>
    <w:sdtEndPr/>
    <w:sdtContent>
      <w:p w:rsidR="009B6C9D" w:rsidRDefault="009B6C9D">
        <w:pPr>
          <w:pStyle w:val="ab"/>
          <w:jc w:val="right"/>
        </w:pPr>
        <w:r>
          <w:fldChar w:fldCharType="begin"/>
        </w:r>
        <w:r>
          <w:instrText>PAGE   \* MERGEFORMAT</w:instrText>
        </w:r>
        <w:r>
          <w:fldChar w:fldCharType="separate"/>
        </w:r>
        <w:r w:rsidR="00A616DF" w:rsidRPr="00A616DF">
          <w:rPr>
            <w:noProof/>
            <w:lang w:val="ru-RU"/>
          </w:rPr>
          <w:t>9</w:t>
        </w:r>
        <w:r>
          <w:fldChar w:fldCharType="end"/>
        </w:r>
      </w:p>
    </w:sdtContent>
  </w:sdt>
  <w:p w:rsidR="009B6C9D" w:rsidRDefault="009B6C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92" w:rsidRDefault="007B4092">
      <w:pPr>
        <w:spacing w:after="0" w:line="240" w:lineRule="auto"/>
      </w:pPr>
      <w:r>
        <w:separator/>
      </w:r>
    </w:p>
  </w:footnote>
  <w:footnote w:type="continuationSeparator" w:id="0">
    <w:p w:rsidR="007B4092" w:rsidRDefault="007B4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D6" w:rsidRDefault="00342707">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Tibbi annotasiya forması-AMEA-5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B3B86"/>
    <w:multiLevelType w:val="hybridMultilevel"/>
    <w:tmpl w:val="EE8E43D4"/>
    <w:lvl w:ilvl="0" w:tplc="AA40F56C">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4357E"/>
    <w:multiLevelType w:val="multilevel"/>
    <w:tmpl w:val="B7F01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D6"/>
    <w:rsid w:val="00045E7C"/>
    <w:rsid w:val="00056C94"/>
    <w:rsid w:val="000D76CD"/>
    <w:rsid w:val="00125899"/>
    <w:rsid w:val="001720CA"/>
    <w:rsid w:val="00235840"/>
    <w:rsid w:val="002C1DF0"/>
    <w:rsid w:val="00342707"/>
    <w:rsid w:val="003A204B"/>
    <w:rsid w:val="003A44D6"/>
    <w:rsid w:val="00440164"/>
    <w:rsid w:val="00461A46"/>
    <w:rsid w:val="00490F3C"/>
    <w:rsid w:val="004F1DF5"/>
    <w:rsid w:val="00657AEF"/>
    <w:rsid w:val="0066721B"/>
    <w:rsid w:val="006E74A4"/>
    <w:rsid w:val="007B4092"/>
    <w:rsid w:val="00842CA7"/>
    <w:rsid w:val="008D168E"/>
    <w:rsid w:val="008D43B5"/>
    <w:rsid w:val="009B6C9D"/>
    <w:rsid w:val="00A578F5"/>
    <w:rsid w:val="00A616DF"/>
    <w:rsid w:val="00A86E16"/>
    <w:rsid w:val="00AA4330"/>
    <w:rsid w:val="00B929DD"/>
    <w:rsid w:val="00CB6D5D"/>
    <w:rsid w:val="00D9280C"/>
    <w:rsid w:val="00E76308"/>
    <w:rsid w:val="00F51A33"/>
    <w:rsid w:val="00F63D09"/>
    <w:rsid w:val="00F97EDA"/>
    <w:rsid w:val="00FA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AD35-5224-428C-AB3C-F34937BC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FE"/>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6CBA"/>
    <w:pPr>
      <w:ind w:left="720"/>
      <w:contextualSpacing/>
    </w:pPr>
  </w:style>
  <w:style w:type="paragraph" w:styleId="a6">
    <w:name w:val="Balloon Text"/>
    <w:basedOn w:val="a"/>
    <w:link w:val="a7"/>
    <w:uiPriority w:val="99"/>
    <w:semiHidden/>
    <w:unhideWhenUsed/>
    <w:rsid w:val="00574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8">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9">
    <w:name w:val="header"/>
    <w:basedOn w:val="a"/>
    <w:link w:val="aa"/>
    <w:uiPriority w:val="99"/>
    <w:unhideWhenUsed/>
    <w:rsid w:val="0036509B"/>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36509B"/>
  </w:style>
  <w:style w:type="paragraph" w:styleId="ab">
    <w:name w:val="footer"/>
    <w:basedOn w:val="a"/>
    <w:link w:val="ac"/>
    <w:uiPriority w:val="99"/>
    <w:unhideWhenUsed/>
    <w:rsid w:val="0036509B"/>
    <w:pPr>
      <w:tabs>
        <w:tab w:val="center" w:pos="4536"/>
        <w:tab w:val="right" w:pos="9072"/>
      </w:tabs>
      <w:spacing w:after="0" w:line="240" w:lineRule="auto"/>
    </w:pPr>
  </w:style>
  <w:style w:type="character" w:customStyle="1" w:styleId="ac">
    <w:name w:val="Нижний колонтитул Знак"/>
    <w:basedOn w:val="a0"/>
    <w:link w:val="ab"/>
    <w:uiPriority w:val="99"/>
    <w:rsid w:val="0036509B"/>
  </w:style>
  <w:style w:type="character" w:styleId="ad">
    <w:name w:val="Strong"/>
    <w:basedOn w:val="a0"/>
    <w:uiPriority w:val="22"/>
    <w:qFormat/>
    <w:rsid w:val="00223166"/>
    <w:rPr>
      <w:b/>
      <w:bCs/>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unelf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hfv2d67GOoVfz+6m2XIvd7rwQ==">AMUW2mUYK07KSb/LUfzHc4v2FQCJ4lDtUvcbgYVgF1hCisYYHRHVdyGs5YDXpyjqQtLPd/qCcAzdkYYw5TE9xFMgLkmhYdAP2AVeNtGDaHW80mnhh7nEDFwnoOAWsgz+2ttu4qF6QRo2UVx2D7dylVzIqrET9DXkefnR8RSueAZ/9JrABB3PBMeTcqWyeVBHCbkCPV8PmaxO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User</cp:lastModifiedBy>
  <cp:revision>27</cp:revision>
  <dcterms:created xsi:type="dcterms:W3CDTF">2021-07-17T09:08:00Z</dcterms:created>
  <dcterms:modified xsi:type="dcterms:W3CDTF">2021-07-17T11:32:00Z</dcterms:modified>
</cp:coreProperties>
</file>